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7D6F" w14:textId="77777777" w:rsidR="00276122" w:rsidRDefault="00276122" w:rsidP="00276122">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المحاضرة الثالثة: </w:t>
      </w:r>
      <w:r>
        <w:rPr>
          <w:rFonts w:ascii="Simplified Arabic" w:hAnsi="Simplified Arabic" w:cs="Simplified Arabic"/>
          <w:b/>
          <w:bCs/>
          <w:sz w:val="28"/>
          <w:szCs w:val="28"/>
          <w:rtl/>
        </w:rPr>
        <w:t>المحاكم التجارية المتخصصة</w:t>
      </w:r>
    </w:p>
    <w:p w14:paraId="0A4E0623" w14:textId="77777777" w:rsidR="00276122" w:rsidRDefault="00276122" w:rsidP="00276122">
      <w:pPr>
        <w:bidi/>
        <w:jc w:val="both"/>
        <w:rPr>
          <w:rFonts w:ascii="Simplified Arabic" w:hAnsi="Simplified Arabic" w:cs="Simplified Arabic"/>
          <w:sz w:val="28"/>
          <w:szCs w:val="28"/>
          <w:rtl/>
        </w:rPr>
      </w:pPr>
      <w:r>
        <w:rPr>
          <w:rFonts w:ascii="Simplified Arabic" w:hAnsi="Simplified Arabic" w:cs="Simplified Arabic"/>
          <w:sz w:val="28"/>
          <w:szCs w:val="28"/>
          <w:rtl/>
        </w:rPr>
        <w:tab/>
        <w:t>تم استحداث المحاكم التجارية المتخصصة لأول مرة بموجب نص المادة 06 من القانون رقم: 22-07 المتعلق بالتقسيم القضائي، والتي نصت على أنه تحدث بدائرة اختصاص بعض المجالس القضائية محاكم تجارية متخصصة.، وتبعا لذلك صدر القانون العضوي: 22-10 المتعلق بالتنظيم القضائي، والذي نص في المادة 28 منه على هذه المحاكم، إضافة إلى أحكام المواد من 536 إلى 536 مكرر 07 من ق ا م ا الواردة ضمن أحكام القانون: 22-13 المعدل والمتمم للقانون: 08-09 المتضمن قانون الإجراءات المدنية والإدارية</w:t>
      </w:r>
      <w:r>
        <w:rPr>
          <w:rFonts w:ascii="Simplified Arabic" w:hAnsi="Simplified Arabic" w:cs="Simplified Arabic" w:hint="cs"/>
          <w:sz w:val="28"/>
          <w:szCs w:val="28"/>
          <w:rtl/>
        </w:rPr>
        <w:t>.</w:t>
      </w:r>
    </w:p>
    <w:p w14:paraId="6E4E1519" w14:textId="77777777" w:rsidR="00276122" w:rsidRDefault="00276122" w:rsidP="00276122">
      <w:pPr>
        <w:bidi/>
        <w:rPr>
          <w:rFonts w:ascii="Simplified Arabic" w:hAnsi="Simplified Arabic" w:cs="Simplified Arabic"/>
          <w:b/>
          <w:bCs/>
          <w:sz w:val="28"/>
          <w:szCs w:val="28"/>
          <w:rtl/>
        </w:rPr>
      </w:pPr>
      <w:r>
        <w:rPr>
          <w:rFonts w:ascii="Simplified Arabic" w:hAnsi="Simplified Arabic" w:cs="Simplified Arabic" w:hint="cs"/>
          <w:b/>
          <w:bCs/>
          <w:sz w:val="28"/>
          <w:szCs w:val="28"/>
          <w:rtl/>
        </w:rPr>
        <w:t>أولا</w:t>
      </w:r>
      <w:r>
        <w:rPr>
          <w:rFonts w:ascii="Simplified Arabic" w:hAnsi="Simplified Arabic" w:cs="Simplified Arabic"/>
          <w:b/>
          <w:bCs/>
          <w:sz w:val="28"/>
          <w:szCs w:val="28"/>
          <w:rtl/>
        </w:rPr>
        <w:t>: التشكيلة البشرية للمحكمة التجارية المتخصصة</w:t>
      </w:r>
    </w:p>
    <w:p w14:paraId="448C5C9D" w14:textId="77777777" w:rsidR="00276122" w:rsidRDefault="00276122" w:rsidP="00276122">
      <w:pPr>
        <w:bidi/>
        <w:rPr>
          <w:rFonts w:ascii="Simplified Arabic" w:hAnsi="Simplified Arabic" w:cs="Simplified Arabic"/>
          <w:sz w:val="28"/>
          <w:szCs w:val="28"/>
          <w:rtl/>
        </w:rPr>
      </w:pPr>
      <w:r>
        <w:rPr>
          <w:rFonts w:ascii="Simplified Arabic" w:hAnsi="Simplified Arabic" w:cs="Simplified Arabic"/>
          <w:sz w:val="28"/>
          <w:szCs w:val="28"/>
          <w:rtl/>
        </w:rPr>
        <w:tab/>
        <w:t>بالرجوع إلى أحكام هذا المرسوم، نجد أن المادة 03 منه تنص على أنه يحدد عدد المساعدين بموجب أمر من رئيس المحكمة التجارية المتخصصة، حسب عدد أقسام المحكمة التجارية المتخصصة وحجم نشاطها، على ألا يتجاوز في جميع الأحوال 20 مساعدا.</w:t>
      </w:r>
    </w:p>
    <w:p w14:paraId="57C9C8AD" w14:textId="77777777" w:rsidR="00276122" w:rsidRDefault="00276122" w:rsidP="00276122">
      <w:pPr>
        <w:bidi/>
        <w:rPr>
          <w:rFonts w:ascii="Simplified Arabic" w:hAnsi="Simplified Arabic" w:cs="Simplified Arabic"/>
          <w:sz w:val="28"/>
          <w:szCs w:val="28"/>
          <w:rtl/>
        </w:rPr>
      </w:pPr>
      <w:r>
        <w:rPr>
          <w:rFonts w:ascii="Simplified Arabic" w:hAnsi="Simplified Arabic" w:cs="Simplified Arabic"/>
          <w:sz w:val="28"/>
          <w:szCs w:val="28"/>
          <w:rtl/>
        </w:rPr>
        <w:tab/>
        <w:t xml:space="preserve">وقد نصت الفقرة الثانية من ذات المادة على أن قائمة المساعدين التابعين للمحكمة التجارية المتخصصة يتم اعدادها وتحيينها من قبل لجنة يترأسها رئيس المجلس القضائي الذي يقع في دائرة اختصاصه مقر المحكمة التجارية المتخصصة أو ممثله، وتتشكل من: </w:t>
      </w:r>
    </w:p>
    <w:p w14:paraId="73248649" w14:textId="77777777" w:rsidR="00276122" w:rsidRDefault="00276122" w:rsidP="00276122">
      <w:pPr>
        <w:bidi/>
        <w:rPr>
          <w:rFonts w:ascii="Simplified Arabic" w:hAnsi="Simplified Arabic" w:cs="Simplified Arabic"/>
          <w:sz w:val="28"/>
          <w:szCs w:val="28"/>
          <w:rtl/>
        </w:rPr>
      </w:pPr>
      <w:r>
        <w:rPr>
          <w:rFonts w:ascii="Simplified Arabic" w:hAnsi="Simplified Arabic" w:cs="Simplified Arabic"/>
          <w:sz w:val="28"/>
          <w:szCs w:val="28"/>
          <w:rtl/>
        </w:rPr>
        <w:t>- رئيس المحكمة التجارية المتخصصة</w:t>
      </w:r>
    </w:p>
    <w:p w14:paraId="5B409EDF" w14:textId="77777777" w:rsidR="00276122" w:rsidRDefault="00276122" w:rsidP="00276122">
      <w:pPr>
        <w:bidi/>
        <w:rPr>
          <w:rFonts w:ascii="Simplified Arabic" w:hAnsi="Simplified Arabic" w:cs="Simplified Arabic"/>
          <w:sz w:val="28"/>
          <w:szCs w:val="28"/>
          <w:rtl/>
        </w:rPr>
      </w:pPr>
      <w:r>
        <w:rPr>
          <w:rFonts w:ascii="Simplified Arabic" w:hAnsi="Simplified Arabic" w:cs="Simplified Arabic"/>
          <w:sz w:val="28"/>
          <w:szCs w:val="28"/>
          <w:rtl/>
        </w:rPr>
        <w:t>-رؤساء الغرف التجارية للمجالس القضائية التابعة لاختصاص المحكمة التجارية المتخصصة.</w:t>
      </w:r>
    </w:p>
    <w:p w14:paraId="591BB0B2" w14:textId="77777777" w:rsidR="00276122" w:rsidRDefault="00276122" w:rsidP="00276122">
      <w:pPr>
        <w:bidi/>
        <w:rPr>
          <w:rFonts w:ascii="Simplified Arabic" w:hAnsi="Simplified Arabic" w:cs="Simplified Arabic"/>
          <w:sz w:val="28"/>
          <w:szCs w:val="28"/>
          <w:rtl/>
        </w:rPr>
      </w:pPr>
      <w:r>
        <w:rPr>
          <w:rFonts w:ascii="Simplified Arabic" w:hAnsi="Simplified Arabic" w:cs="Simplified Arabic"/>
          <w:sz w:val="28"/>
          <w:szCs w:val="28"/>
          <w:rtl/>
        </w:rPr>
        <w:t>- رؤساء أقسام المحكمة التجارية المتخصصة.</w:t>
      </w:r>
    </w:p>
    <w:p w14:paraId="165674C8" w14:textId="77777777" w:rsidR="00276122" w:rsidRDefault="00276122" w:rsidP="00276122">
      <w:pPr>
        <w:pStyle w:val="Paragraphedeliste"/>
        <w:numPr>
          <w:ilvl w:val="0"/>
          <w:numId w:val="1"/>
        </w:numPr>
        <w:bidi/>
        <w:spacing w:line="256" w:lineRule="auto"/>
        <w:ind w:left="360"/>
        <w:rPr>
          <w:rFonts w:ascii="Simplified Arabic" w:hAnsi="Simplified Arabic" w:cs="Simplified Arabic"/>
          <w:b/>
          <w:bCs/>
          <w:sz w:val="28"/>
          <w:szCs w:val="28"/>
        </w:rPr>
      </w:pPr>
      <w:r>
        <w:rPr>
          <w:rFonts w:ascii="Simplified Arabic" w:hAnsi="Simplified Arabic" w:cs="Simplified Arabic"/>
          <w:sz w:val="28"/>
          <w:szCs w:val="28"/>
          <w:rtl/>
        </w:rPr>
        <w:t xml:space="preserve">يتولى النيابة العامة على مستوى هذه اللجنة نائب عام أو أحد </w:t>
      </w:r>
      <w:proofErr w:type="gramStart"/>
      <w:r>
        <w:rPr>
          <w:rFonts w:ascii="Simplified Arabic" w:hAnsi="Simplified Arabic" w:cs="Simplified Arabic"/>
          <w:sz w:val="28"/>
          <w:szCs w:val="28"/>
          <w:rtl/>
        </w:rPr>
        <w:t>مساعديه  لدى</w:t>
      </w:r>
      <w:proofErr w:type="gramEnd"/>
      <w:r>
        <w:rPr>
          <w:rFonts w:ascii="Simplified Arabic" w:hAnsi="Simplified Arabic" w:cs="Simplified Arabic"/>
          <w:sz w:val="28"/>
          <w:szCs w:val="28"/>
          <w:rtl/>
        </w:rPr>
        <w:t xml:space="preserve"> المجلس القضائي الذي يقع في دائرة اختصاصه مقر المحكمة التجارية المتخصصة أو ممثله.</w:t>
      </w:r>
    </w:p>
    <w:p w14:paraId="0DCAE783" w14:textId="77777777" w:rsidR="00276122" w:rsidRDefault="00276122" w:rsidP="00276122">
      <w:pPr>
        <w:bidi/>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Pr>
          <w:rFonts w:ascii="Simplified Arabic" w:hAnsi="Simplified Arabic" w:cs="Simplified Arabic"/>
          <w:b/>
          <w:bCs/>
          <w:sz w:val="28"/>
          <w:szCs w:val="28"/>
          <w:rtl/>
        </w:rPr>
        <w:t>: تنظيم المحكمة التجارية المتخصصة</w:t>
      </w:r>
    </w:p>
    <w:p w14:paraId="3C2051AD" w14:textId="77777777" w:rsidR="00276122" w:rsidRDefault="00276122" w:rsidP="00276122">
      <w:pPr>
        <w:bidi/>
        <w:rPr>
          <w:rFonts w:ascii="Simplified Arabic" w:hAnsi="Simplified Arabic" w:cs="Simplified Arabic"/>
          <w:sz w:val="28"/>
          <w:szCs w:val="28"/>
          <w:rtl/>
        </w:rPr>
      </w:pPr>
      <w:r>
        <w:rPr>
          <w:rFonts w:ascii="Simplified Arabic" w:hAnsi="Simplified Arabic" w:cs="Simplified Arabic"/>
          <w:b/>
          <w:bCs/>
          <w:sz w:val="28"/>
          <w:szCs w:val="28"/>
          <w:rtl/>
        </w:rPr>
        <w:tab/>
      </w:r>
      <w:r>
        <w:rPr>
          <w:rFonts w:ascii="Simplified Arabic" w:hAnsi="Simplified Arabic" w:cs="Simplified Arabic"/>
          <w:sz w:val="28"/>
          <w:szCs w:val="28"/>
          <w:rtl/>
        </w:rPr>
        <w:t>تخضع الإجراءات المتبعة أمام المحكمة التجارية المتخصصة لقيد اجراء الصلح بصفة الزامية قبل رفع الدعوى، حتى يتمكن التجار من الن=توصل لحل ودي يتلاءم مع مبدأ السرعة والائتمان في الحياة التجارية، تقصيرا لإجراءات التقاضي الطويلة، والتي قد تدوم لأشهر عدة.</w:t>
      </w:r>
    </w:p>
    <w:p w14:paraId="3EEA1F75" w14:textId="77777777" w:rsidR="00276122" w:rsidRDefault="00276122" w:rsidP="00276122">
      <w:pPr>
        <w:bidi/>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ويتم الصلح بناء على طلب من أحد الخصوم قبل قيد الدعوى يقدم إلى رئيس المحكمة التجارية المتخصصة، والذي يعين في مدة أقصاها 05 أيام بموجب أمر على عريضة أحد القضاة للقيام </w:t>
      </w:r>
      <w:proofErr w:type="spellStart"/>
      <w:r>
        <w:rPr>
          <w:rFonts w:ascii="Simplified Arabic" w:hAnsi="Simplified Arabic" w:cs="Simplified Arabic"/>
          <w:sz w:val="28"/>
          <w:szCs w:val="28"/>
          <w:rtl/>
        </w:rPr>
        <w:t>باجراء</w:t>
      </w:r>
      <w:proofErr w:type="spellEnd"/>
      <w:r>
        <w:rPr>
          <w:rFonts w:ascii="Simplified Arabic" w:hAnsi="Simplified Arabic" w:cs="Simplified Arabic"/>
          <w:sz w:val="28"/>
          <w:szCs w:val="28"/>
          <w:rtl/>
        </w:rPr>
        <w:t xml:space="preserve"> الصلح خلال مدة أقصاها 03 أشهر، على أن يقوم طالب الصلح بتبليغ أطراف النزاع بتاريخ جلسة الصلح، كما يمكن للقاضي المعين للقيام بالصلح الاستعانة بأي شخص يراه مناسبا لمساعدته </w:t>
      </w:r>
      <w:proofErr w:type="spellStart"/>
      <w:r>
        <w:rPr>
          <w:rFonts w:ascii="Simplified Arabic" w:hAnsi="Simplified Arabic" w:cs="Simplified Arabic"/>
          <w:sz w:val="28"/>
          <w:szCs w:val="28"/>
          <w:rtl/>
        </w:rPr>
        <w:t>لاجراء</w:t>
      </w:r>
      <w:proofErr w:type="spellEnd"/>
      <w:r>
        <w:rPr>
          <w:rFonts w:ascii="Simplified Arabic" w:hAnsi="Simplified Arabic" w:cs="Simplified Arabic"/>
          <w:sz w:val="28"/>
          <w:szCs w:val="28"/>
          <w:rtl/>
        </w:rPr>
        <w:t xml:space="preserve"> الصلح.، حسب ما جاء في المادة 536 مكرر 04 من ق ا م ا.</w:t>
      </w:r>
    </w:p>
    <w:p w14:paraId="36C59B87" w14:textId="77777777" w:rsidR="00276122" w:rsidRDefault="00276122" w:rsidP="00276122">
      <w:pPr>
        <w:bidi/>
        <w:rPr>
          <w:rFonts w:ascii="Simplified Arabic" w:hAnsi="Simplified Arabic" w:cs="Simplified Arabic"/>
          <w:sz w:val="28"/>
          <w:szCs w:val="28"/>
          <w:rtl/>
        </w:rPr>
      </w:pPr>
      <w:r>
        <w:rPr>
          <w:rFonts w:ascii="Simplified Arabic" w:hAnsi="Simplified Arabic" w:cs="Simplified Arabic"/>
          <w:sz w:val="28"/>
          <w:szCs w:val="28"/>
          <w:rtl/>
        </w:rPr>
        <w:tab/>
        <w:t>وينتهي الصلح بموجب محضر محرر يوقعه القاضي وأطراف النزاع وأمين الضبط، ويودع لدى أمانة ضبط المحكمة التجارية المتخصصة التي تم أمامها.</w:t>
      </w:r>
    </w:p>
    <w:p w14:paraId="55EC6395" w14:textId="77777777" w:rsidR="00276122" w:rsidRDefault="00276122" w:rsidP="00276122">
      <w:pPr>
        <w:bidi/>
        <w:rPr>
          <w:rFonts w:ascii="Simplified Arabic" w:hAnsi="Simplified Arabic" w:cs="Simplified Arabic"/>
          <w:sz w:val="28"/>
          <w:szCs w:val="28"/>
          <w:rtl/>
        </w:rPr>
      </w:pPr>
      <w:r>
        <w:rPr>
          <w:rFonts w:ascii="Simplified Arabic" w:hAnsi="Simplified Arabic" w:cs="Simplified Arabic"/>
          <w:sz w:val="28"/>
          <w:szCs w:val="28"/>
          <w:rtl/>
        </w:rPr>
        <w:tab/>
        <w:t xml:space="preserve">وفي حالة فشل الصلح يحرر محضر عدم الصلح وترفع الدعوى أمام المحكمة التجارية المتخصصة بعريضة طبقا للقواعد المنصوص عليها ضمن ق إ م إ مرفقة بمحضر عدم الصلح، أما في حالة الصلح فإنه يضع حدا للنزاع، ويعد محضر الصلح في هذه الحالة بمثابة سنة تنفيذي، طبقا للمادة 600 فقرة 08 من ق ا م </w:t>
      </w:r>
      <w:proofErr w:type="gramStart"/>
      <w:r>
        <w:rPr>
          <w:rFonts w:ascii="Simplified Arabic" w:hAnsi="Simplified Arabic" w:cs="Simplified Arabic"/>
          <w:sz w:val="28"/>
          <w:szCs w:val="28"/>
          <w:rtl/>
        </w:rPr>
        <w:t>ا .</w:t>
      </w:r>
      <w:proofErr w:type="gramEnd"/>
    </w:p>
    <w:p w14:paraId="68B5274A" w14:textId="77777777" w:rsidR="00276122" w:rsidRDefault="00276122" w:rsidP="00276122">
      <w:pPr>
        <w:pStyle w:val="Paragraphedeliste"/>
        <w:bidi/>
        <w:ind w:left="360" w:firstLine="348"/>
        <w:rPr>
          <w:rFonts w:ascii="Simplified Arabic" w:hAnsi="Simplified Arabic" w:cs="Simplified Arabic"/>
          <w:sz w:val="28"/>
          <w:szCs w:val="28"/>
          <w:rtl/>
        </w:rPr>
      </w:pPr>
      <w:r>
        <w:rPr>
          <w:rFonts w:ascii="Simplified Arabic" w:hAnsi="Simplified Arabic" w:cs="Simplified Arabic"/>
          <w:sz w:val="28"/>
          <w:szCs w:val="28"/>
          <w:rtl/>
        </w:rPr>
        <w:t>ويتم الفصل في الدعوى التجارية بحكم قضائي قابل للاستئناف أمام المجلس القضائي الذي توجد المحكمة التجارية المتخصصة بدائرة اختصاصه، طبقا لنص المادة 536 مكرر 05 من ق ا م ا، ويمثل النيابة العامة على مستوى المحاكم التجارية المتخصصة وكيل الجمهورية لدى المحكمة التي تتواجد في دائرة اختصاصها، طبقا لنص المادة 536 مكرر 07 من ق ا م ا، باعتبارها طرفا منضما في القضايا التي يجب إبلاغه بها حسب المادة 260 من ق ا م ا، ويتعلق الأمر بقضايا الإفلاس والتسوية القضائية.</w:t>
      </w:r>
    </w:p>
    <w:p w14:paraId="08B12BC3" w14:textId="77777777" w:rsidR="00276122" w:rsidRDefault="00276122" w:rsidP="00276122">
      <w:pPr>
        <w:bidi/>
        <w:ind w:left="360"/>
        <w:rPr>
          <w:rFonts w:ascii="Simplified Arabic" w:hAnsi="Simplified Arabic" w:cs="Simplified Arabic"/>
          <w:sz w:val="28"/>
          <w:szCs w:val="28"/>
          <w:rtl/>
        </w:rPr>
      </w:pPr>
      <w:r>
        <w:rPr>
          <w:rFonts w:ascii="Simplified Arabic" w:hAnsi="Simplified Arabic" w:cs="Simplified Arabic"/>
          <w:b/>
          <w:bCs/>
          <w:sz w:val="28"/>
          <w:szCs w:val="28"/>
          <w:rtl/>
        </w:rPr>
        <w:tab/>
      </w:r>
      <w:r>
        <w:rPr>
          <w:rFonts w:ascii="Simplified Arabic" w:hAnsi="Simplified Arabic" w:cs="Simplified Arabic" w:hint="cs"/>
          <w:b/>
          <w:bCs/>
          <w:sz w:val="28"/>
          <w:szCs w:val="28"/>
          <w:rtl/>
        </w:rPr>
        <w:t>و</w:t>
      </w:r>
      <w:r>
        <w:rPr>
          <w:rFonts w:ascii="Simplified Arabic" w:hAnsi="Simplified Arabic" w:cs="Simplified Arabic"/>
          <w:sz w:val="28"/>
          <w:szCs w:val="28"/>
          <w:rtl/>
        </w:rPr>
        <w:t>تنفيذا لأحكام القانون العضوي رقم: 22-10 المتعلق بالتنظيم القضائي، والقانون: 22-07 المتعلق بالتقسيم القضائي، وكذا القانون: 22-13 المعدل والمتمم لقانون الإجراءات المدنية والإدارية، صدر المرسوم التنفيذي رقم: 23-53، المحدد لدوائر الاختصاص الإقليمي للمحاكم التجارية المتخصصة</w:t>
      </w:r>
      <w:r>
        <w:rPr>
          <w:rStyle w:val="Appelnotedebasdep"/>
          <w:rFonts w:ascii="Simplified Arabic" w:hAnsi="Simplified Arabic" w:cs="Simplified Arabic"/>
          <w:rtl/>
        </w:rPr>
        <w:footnoteReference w:id="1"/>
      </w:r>
      <w:r>
        <w:rPr>
          <w:rFonts w:ascii="Simplified Arabic" w:hAnsi="Simplified Arabic" w:cs="Simplified Arabic"/>
          <w:sz w:val="28"/>
          <w:szCs w:val="28"/>
          <w:rtl/>
        </w:rPr>
        <w:t>، حيث حددت المادة 02 من هذا المرسوم عدد المحاكم التجارية المتخصصة ب 12 محكمة عبر كامل التراب الوطني، تحدد دوائر اختصاصها الإقليمي طبقا للملحق بهذا المرسوم</w:t>
      </w:r>
    </w:p>
    <w:p w14:paraId="0FE87E35" w14:textId="77777777" w:rsidR="00276122" w:rsidRDefault="00276122" w:rsidP="00276122">
      <w:pPr>
        <w:bidi/>
        <w:ind w:left="360"/>
        <w:rPr>
          <w:rFonts w:ascii="Simplified Arabic" w:hAnsi="Simplified Arabic" w:cs="Simplified Arabic"/>
          <w:sz w:val="28"/>
          <w:szCs w:val="28"/>
          <w:rtl/>
        </w:rPr>
      </w:pPr>
      <w:r>
        <w:rPr>
          <w:rFonts w:ascii="Simplified Arabic" w:hAnsi="Simplified Arabic" w:cs="Simplified Arabic"/>
          <w:sz w:val="28"/>
          <w:szCs w:val="28"/>
          <w:rtl/>
        </w:rPr>
        <w:tab/>
        <w:t>وبالرجوع إلى هذا الملحق، نجد أن الاختصاص الإقليمي للمحاكم التجارية المتخصصة قسم على النحو التالي:</w:t>
      </w:r>
    </w:p>
    <w:p w14:paraId="653E6ABA"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tl/>
        </w:rPr>
      </w:pPr>
      <w:r>
        <w:rPr>
          <w:rFonts w:ascii="Simplified Arabic" w:hAnsi="Simplified Arabic" w:cs="Simplified Arabic"/>
          <w:b/>
          <w:bCs/>
          <w:sz w:val="28"/>
          <w:szCs w:val="28"/>
          <w:rtl/>
        </w:rPr>
        <w:lastRenderedPageBreak/>
        <w:t xml:space="preserve">المحكمة التجارية المتخصصة لبشار: </w:t>
      </w:r>
      <w:r>
        <w:rPr>
          <w:rFonts w:ascii="Simplified Arabic" w:hAnsi="Simplified Arabic" w:cs="Simplified Arabic"/>
          <w:sz w:val="28"/>
          <w:szCs w:val="28"/>
          <w:rtl/>
        </w:rPr>
        <w:t xml:space="preserve">وتضم كل من بشار، أدرار، تندوف، </w:t>
      </w:r>
      <w:proofErr w:type="spellStart"/>
      <w:r>
        <w:rPr>
          <w:rFonts w:ascii="Simplified Arabic" w:hAnsi="Simplified Arabic" w:cs="Simplified Arabic"/>
          <w:sz w:val="28"/>
          <w:szCs w:val="28"/>
          <w:rtl/>
        </w:rPr>
        <w:t>تيميمون</w:t>
      </w:r>
      <w:proofErr w:type="spellEnd"/>
      <w:r>
        <w:rPr>
          <w:rFonts w:ascii="Simplified Arabic" w:hAnsi="Simplified Arabic" w:cs="Simplified Arabic"/>
          <w:sz w:val="28"/>
          <w:szCs w:val="28"/>
          <w:rtl/>
        </w:rPr>
        <w:t>، بني عباس.</w:t>
      </w:r>
    </w:p>
    <w:p w14:paraId="2691599B"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Pr>
      </w:pPr>
      <w:r>
        <w:rPr>
          <w:rFonts w:ascii="Simplified Arabic" w:hAnsi="Simplified Arabic" w:cs="Simplified Arabic"/>
          <w:b/>
          <w:bCs/>
          <w:sz w:val="28"/>
          <w:szCs w:val="28"/>
          <w:rtl/>
        </w:rPr>
        <w:t>المحكمة التجارية المتخصصة لتامنغست:</w:t>
      </w:r>
      <w:r>
        <w:rPr>
          <w:rFonts w:ascii="Simplified Arabic" w:hAnsi="Simplified Arabic" w:cs="Simplified Arabic"/>
          <w:sz w:val="28"/>
          <w:szCs w:val="28"/>
          <w:rtl/>
        </w:rPr>
        <w:t xml:space="preserve"> وتضم كل من: تامنغست، إليزي، برج باجي مختار، إن صالح، إن قزام، جانت.</w:t>
      </w:r>
    </w:p>
    <w:p w14:paraId="312768B3"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Pr>
      </w:pPr>
      <w:r>
        <w:rPr>
          <w:rFonts w:ascii="Simplified Arabic" w:hAnsi="Simplified Arabic" w:cs="Simplified Arabic"/>
          <w:b/>
          <w:bCs/>
          <w:sz w:val="28"/>
          <w:szCs w:val="28"/>
          <w:rtl/>
        </w:rPr>
        <w:t>المحكمة التجارية المتخصصة للجلفة:</w:t>
      </w:r>
      <w:r>
        <w:rPr>
          <w:rFonts w:ascii="Simplified Arabic" w:hAnsi="Simplified Arabic" w:cs="Simplified Arabic"/>
          <w:sz w:val="28"/>
          <w:szCs w:val="28"/>
          <w:rtl/>
        </w:rPr>
        <w:t xml:space="preserve"> وتضم كلا من الجلفة، الأغواط، تيارت وتيسمسيلت.</w:t>
      </w:r>
    </w:p>
    <w:p w14:paraId="4FE86940"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Pr>
      </w:pPr>
      <w:r>
        <w:rPr>
          <w:rFonts w:ascii="Simplified Arabic" w:hAnsi="Simplified Arabic" w:cs="Simplified Arabic"/>
          <w:b/>
          <w:bCs/>
          <w:sz w:val="28"/>
          <w:szCs w:val="28"/>
          <w:rtl/>
        </w:rPr>
        <w:t>المحكمة التجارية المتخصصة للبليدة:</w:t>
      </w:r>
      <w:r>
        <w:rPr>
          <w:rFonts w:ascii="Simplified Arabic" w:hAnsi="Simplified Arabic" w:cs="Simplified Arabic"/>
          <w:sz w:val="28"/>
          <w:szCs w:val="28"/>
          <w:rtl/>
        </w:rPr>
        <w:t xml:space="preserve"> تضم كلا من البليدة، المدية، تيبازة </w:t>
      </w:r>
      <w:proofErr w:type="spellStart"/>
      <w:r>
        <w:rPr>
          <w:rFonts w:ascii="Simplified Arabic" w:hAnsi="Simplified Arabic" w:cs="Simplified Arabic"/>
          <w:sz w:val="28"/>
          <w:szCs w:val="28"/>
          <w:rtl/>
        </w:rPr>
        <w:t>زعين</w:t>
      </w:r>
      <w:proofErr w:type="spellEnd"/>
      <w:r>
        <w:rPr>
          <w:rFonts w:ascii="Simplified Arabic" w:hAnsi="Simplified Arabic" w:cs="Simplified Arabic"/>
          <w:sz w:val="28"/>
          <w:szCs w:val="28"/>
          <w:rtl/>
        </w:rPr>
        <w:t xml:space="preserve"> الدفلى.</w:t>
      </w:r>
    </w:p>
    <w:p w14:paraId="221AAE5E"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Pr>
      </w:pPr>
      <w:r>
        <w:rPr>
          <w:rFonts w:ascii="Simplified Arabic" w:hAnsi="Simplified Arabic" w:cs="Simplified Arabic"/>
          <w:b/>
          <w:bCs/>
          <w:sz w:val="28"/>
          <w:szCs w:val="28"/>
          <w:rtl/>
        </w:rPr>
        <w:t>المحكمة التجارية المتخصصة لتلمسان:</w:t>
      </w:r>
      <w:r>
        <w:rPr>
          <w:rFonts w:ascii="Simplified Arabic" w:hAnsi="Simplified Arabic" w:cs="Simplified Arabic"/>
          <w:sz w:val="28"/>
          <w:szCs w:val="28"/>
          <w:rtl/>
        </w:rPr>
        <w:t xml:space="preserve"> تضم كلا من تلمسان، سعيدة، سيدي بلعباس، البيض، النعامة.</w:t>
      </w:r>
    </w:p>
    <w:p w14:paraId="74A0181F"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Pr>
      </w:pPr>
      <w:r>
        <w:rPr>
          <w:rFonts w:ascii="Simplified Arabic" w:hAnsi="Simplified Arabic" w:cs="Simplified Arabic"/>
          <w:b/>
          <w:bCs/>
          <w:sz w:val="28"/>
          <w:szCs w:val="28"/>
          <w:rtl/>
        </w:rPr>
        <w:t>المحكمة التجارية المتخصصة بالجزائر:</w:t>
      </w:r>
      <w:r>
        <w:rPr>
          <w:rFonts w:ascii="Simplified Arabic" w:hAnsi="Simplified Arabic" w:cs="Simplified Arabic"/>
          <w:sz w:val="28"/>
          <w:szCs w:val="28"/>
          <w:rtl/>
        </w:rPr>
        <w:t xml:space="preserve"> تضم كلا من: الجزائر، البويرة، تيزي </w:t>
      </w:r>
      <w:proofErr w:type="spellStart"/>
      <w:r>
        <w:rPr>
          <w:rFonts w:ascii="Simplified Arabic" w:hAnsi="Simplified Arabic" w:cs="Simplified Arabic"/>
          <w:sz w:val="28"/>
          <w:szCs w:val="28"/>
          <w:rtl/>
        </w:rPr>
        <w:t>وزو</w:t>
      </w:r>
      <w:proofErr w:type="spellEnd"/>
      <w:r>
        <w:rPr>
          <w:rFonts w:ascii="Simplified Arabic" w:hAnsi="Simplified Arabic" w:cs="Simplified Arabic"/>
          <w:sz w:val="28"/>
          <w:szCs w:val="28"/>
          <w:rtl/>
        </w:rPr>
        <w:t>، بومرداس.</w:t>
      </w:r>
    </w:p>
    <w:p w14:paraId="3CCA6482"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Pr>
      </w:pPr>
      <w:r>
        <w:rPr>
          <w:rFonts w:ascii="Simplified Arabic" w:hAnsi="Simplified Arabic" w:cs="Simplified Arabic"/>
          <w:b/>
          <w:bCs/>
          <w:sz w:val="28"/>
          <w:szCs w:val="28"/>
          <w:rtl/>
        </w:rPr>
        <w:t>المحكمة التجارية المتخصصة بسطيف:</w:t>
      </w:r>
      <w:r>
        <w:rPr>
          <w:rFonts w:ascii="Simplified Arabic" w:hAnsi="Simplified Arabic" w:cs="Simplified Arabic"/>
          <w:sz w:val="28"/>
          <w:szCs w:val="28"/>
          <w:rtl/>
        </w:rPr>
        <w:t xml:space="preserve"> تضم سطيف، باتنة، بجاية، المسيلة وبرج بوعريريج.</w:t>
      </w:r>
    </w:p>
    <w:p w14:paraId="3B7EA3D2"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Pr>
      </w:pPr>
      <w:r>
        <w:rPr>
          <w:rFonts w:ascii="Simplified Arabic" w:hAnsi="Simplified Arabic" w:cs="Simplified Arabic"/>
          <w:b/>
          <w:bCs/>
          <w:sz w:val="28"/>
          <w:szCs w:val="28"/>
          <w:rtl/>
        </w:rPr>
        <w:t>المحكمة التجارية المتخصصة بعنابة:</w:t>
      </w:r>
      <w:r>
        <w:rPr>
          <w:rFonts w:ascii="Simplified Arabic" w:hAnsi="Simplified Arabic" w:cs="Simplified Arabic"/>
          <w:sz w:val="28"/>
          <w:szCs w:val="28"/>
          <w:rtl/>
        </w:rPr>
        <w:t xml:space="preserve"> تضم عنابة، تبسة، قالمة، الطارف، سوق أهراس.</w:t>
      </w:r>
    </w:p>
    <w:p w14:paraId="045F8BE8"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Pr>
      </w:pPr>
      <w:r>
        <w:rPr>
          <w:rFonts w:ascii="Simplified Arabic" w:hAnsi="Simplified Arabic" w:cs="Simplified Arabic"/>
          <w:b/>
          <w:bCs/>
          <w:sz w:val="28"/>
          <w:szCs w:val="28"/>
          <w:rtl/>
        </w:rPr>
        <w:t>المحكمة التجارية المتخصصة لقسنطينة:</w:t>
      </w:r>
      <w:r>
        <w:rPr>
          <w:rFonts w:ascii="Simplified Arabic" w:hAnsi="Simplified Arabic" w:cs="Simplified Arabic"/>
          <w:sz w:val="28"/>
          <w:szCs w:val="28"/>
          <w:rtl/>
        </w:rPr>
        <w:t xml:space="preserve"> تضم قسنطينة، أم البواقي، جيجل، سكيكدة، ميلة، خنشلة.</w:t>
      </w:r>
    </w:p>
    <w:p w14:paraId="6086E3E0"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Pr>
      </w:pPr>
      <w:r>
        <w:rPr>
          <w:rFonts w:ascii="Simplified Arabic" w:hAnsi="Simplified Arabic" w:cs="Simplified Arabic"/>
          <w:b/>
          <w:bCs/>
          <w:sz w:val="28"/>
          <w:szCs w:val="28"/>
          <w:rtl/>
        </w:rPr>
        <w:t>المحكمة التجارية المتخصصة لمستغانم:</w:t>
      </w:r>
      <w:r>
        <w:rPr>
          <w:rFonts w:ascii="Simplified Arabic" w:hAnsi="Simplified Arabic" w:cs="Simplified Arabic"/>
          <w:sz w:val="28"/>
          <w:szCs w:val="28"/>
          <w:rtl/>
        </w:rPr>
        <w:t xml:space="preserve"> تضم </w:t>
      </w:r>
      <w:proofErr w:type="spellStart"/>
      <w:r>
        <w:rPr>
          <w:rFonts w:ascii="Simplified Arabic" w:hAnsi="Simplified Arabic" w:cs="Simplified Arabic"/>
          <w:sz w:val="28"/>
          <w:szCs w:val="28"/>
          <w:rtl/>
        </w:rPr>
        <w:t>مشتغانم</w:t>
      </w:r>
      <w:proofErr w:type="spellEnd"/>
      <w:r>
        <w:rPr>
          <w:rFonts w:ascii="Simplified Arabic" w:hAnsi="Simplified Arabic" w:cs="Simplified Arabic"/>
          <w:sz w:val="28"/>
          <w:szCs w:val="28"/>
          <w:rtl/>
        </w:rPr>
        <w:t>، الشلف وغليزان.</w:t>
      </w:r>
    </w:p>
    <w:p w14:paraId="31E0E2BD"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Pr>
      </w:pPr>
      <w:r>
        <w:rPr>
          <w:rFonts w:ascii="Simplified Arabic" w:hAnsi="Simplified Arabic" w:cs="Simplified Arabic"/>
          <w:b/>
          <w:bCs/>
          <w:sz w:val="28"/>
          <w:szCs w:val="28"/>
          <w:rtl/>
        </w:rPr>
        <w:t xml:space="preserve">المحكمة التجارية المتخصصة </w:t>
      </w:r>
      <w:proofErr w:type="spellStart"/>
      <w:r>
        <w:rPr>
          <w:rFonts w:ascii="Simplified Arabic" w:hAnsi="Simplified Arabic" w:cs="Simplified Arabic"/>
          <w:b/>
          <w:bCs/>
          <w:sz w:val="28"/>
          <w:szCs w:val="28"/>
          <w:rtl/>
        </w:rPr>
        <w:t>لورقلة</w:t>
      </w:r>
      <w:proofErr w:type="spellEnd"/>
      <w:r>
        <w:rPr>
          <w:rFonts w:ascii="Simplified Arabic" w:hAnsi="Simplified Arabic" w:cs="Simplified Arabic"/>
          <w:b/>
          <w:bCs/>
          <w:sz w:val="28"/>
          <w:szCs w:val="28"/>
          <w:rtl/>
        </w:rPr>
        <w:t>:</w:t>
      </w:r>
      <w:r>
        <w:rPr>
          <w:rFonts w:ascii="Simplified Arabic" w:hAnsi="Simplified Arabic" w:cs="Simplified Arabic"/>
          <w:sz w:val="28"/>
          <w:szCs w:val="28"/>
          <w:rtl/>
        </w:rPr>
        <w:t xml:space="preserve"> تضم ورقلة، الوادي، </w:t>
      </w:r>
      <w:proofErr w:type="spellStart"/>
      <w:r>
        <w:rPr>
          <w:rFonts w:ascii="Simplified Arabic" w:hAnsi="Simplified Arabic" w:cs="Simplified Arabic"/>
          <w:sz w:val="28"/>
          <w:szCs w:val="28"/>
          <w:rtl/>
        </w:rPr>
        <w:t>توقرت</w:t>
      </w:r>
      <w:proofErr w:type="spellEnd"/>
      <w:r>
        <w:rPr>
          <w:rFonts w:ascii="Simplified Arabic" w:hAnsi="Simplified Arabic" w:cs="Simplified Arabic"/>
          <w:sz w:val="28"/>
          <w:szCs w:val="28"/>
          <w:rtl/>
        </w:rPr>
        <w:t>، المغير، المنيعة، بسكرة، وأولاد جلال.</w:t>
      </w:r>
    </w:p>
    <w:p w14:paraId="1B6748C0" w14:textId="77777777" w:rsidR="00276122" w:rsidRDefault="00276122" w:rsidP="00276122">
      <w:pPr>
        <w:pStyle w:val="Paragraphedeliste"/>
        <w:numPr>
          <w:ilvl w:val="0"/>
          <w:numId w:val="2"/>
        </w:numPr>
        <w:bidi/>
        <w:spacing w:line="256" w:lineRule="auto"/>
        <w:rPr>
          <w:rFonts w:ascii="Simplified Arabic" w:hAnsi="Simplified Arabic" w:cs="Simplified Arabic"/>
          <w:sz w:val="28"/>
          <w:szCs w:val="28"/>
        </w:rPr>
      </w:pPr>
      <w:r>
        <w:rPr>
          <w:rFonts w:ascii="Simplified Arabic" w:hAnsi="Simplified Arabic" w:cs="Simplified Arabic"/>
          <w:b/>
          <w:bCs/>
          <w:sz w:val="28"/>
          <w:szCs w:val="28"/>
          <w:rtl/>
        </w:rPr>
        <w:t>المحكمة التجارية المتخصصة لوهران:</w:t>
      </w:r>
      <w:r>
        <w:rPr>
          <w:rFonts w:ascii="Simplified Arabic" w:hAnsi="Simplified Arabic" w:cs="Simplified Arabic"/>
          <w:sz w:val="28"/>
          <w:szCs w:val="28"/>
          <w:rtl/>
        </w:rPr>
        <w:t xml:space="preserve"> تضم وهران، معسكر وعين تموشنت.</w:t>
      </w:r>
    </w:p>
    <w:p w14:paraId="645EAA4A" w14:textId="77777777" w:rsidR="00276122" w:rsidRDefault="00276122" w:rsidP="00276122">
      <w:pPr>
        <w:pStyle w:val="Paragraphedeliste"/>
        <w:bidi/>
        <w:rPr>
          <w:rFonts w:ascii="Simplified Arabic" w:hAnsi="Simplified Arabic" w:cs="Simplified Arabic"/>
          <w:sz w:val="28"/>
          <w:szCs w:val="28"/>
          <w:rtl/>
        </w:rPr>
      </w:pPr>
    </w:p>
    <w:p w14:paraId="1EB7D019" w14:textId="77777777" w:rsidR="00276122" w:rsidRDefault="00276122" w:rsidP="00276122">
      <w:pPr>
        <w:pStyle w:val="Paragraphedeliste"/>
        <w:bidi/>
        <w:rPr>
          <w:rFonts w:ascii="Simplified Arabic" w:hAnsi="Simplified Arabic" w:cs="Simplified Arabic"/>
          <w:sz w:val="28"/>
          <w:szCs w:val="28"/>
          <w:rtl/>
        </w:rPr>
      </w:pPr>
    </w:p>
    <w:p w14:paraId="0CB70230" w14:textId="77777777" w:rsidR="00276122" w:rsidRDefault="00276122" w:rsidP="00276122">
      <w:pPr>
        <w:pStyle w:val="Paragraphedeliste"/>
        <w:bidi/>
        <w:rPr>
          <w:rFonts w:ascii="Simplified Arabic" w:hAnsi="Simplified Arabic" w:cs="Simplified Arabic"/>
          <w:sz w:val="28"/>
          <w:szCs w:val="28"/>
        </w:rPr>
      </w:pPr>
    </w:p>
    <w:p w14:paraId="031C061D" w14:textId="77777777" w:rsidR="00276122" w:rsidRPr="00276122" w:rsidRDefault="00276122" w:rsidP="00276122">
      <w:pPr>
        <w:bidi/>
        <w:rPr>
          <w:rtl/>
        </w:rPr>
      </w:pPr>
    </w:p>
    <w:p w14:paraId="107E78E9" w14:textId="77777777" w:rsidR="00276122" w:rsidRDefault="00276122" w:rsidP="00276122">
      <w:pPr>
        <w:bidi/>
      </w:pPr>
    </w:p>
    <w:sectPr w:rsidR="002761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EB3D0" w14:textId="77777777" w:rsidR="00276122" w:rsidRDefault="00276122" w:rsidP="00276122">
      <w:pPr>
        <w:spacing w:after="0" w:line="240" w:lineRule="auto"/>
      </w:pPr>
      <w:r>
        <w:separator/>
      </w:r>
    </w:p>
  </w:endnote>
  <w:endnote w:type="continuationSeparator" w:id="0">
    <w:p w14:paraId="7A3C78F6" w14:textId="77777777" w:rsidR="00276122" w:rsidRDefault="00276122" w:rsidP="0027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748F8" w14:textId="77777777" w:rsidR="00276122" w:rsidRDefault="00276122" w:rsidP="00276122">
      <w:pPr>
        <w:spacing w:after="0" w:line="240" w:lineRule="auto"/>
      </w:pPr>
      <w:r>
        <w:separator/>
      </w:r>
    </w:p>
  </w:footnote>
  <w:footnote w:type="continuationSeparator" w:id="0">
    <w:p w14:paraId="382FE323" w14:textId="77777777" w:rsidR="00276122" w:rsidRDefault="00276122" w:rsidP="00276122">
      <w:pPr>
        <w:spacing w:after="0" w:line="240" w:lineRule="auto"/>
      </w:pPr>
      <w:r>
        <w:continuationSeparator/>
      </w:r>
    </w:p>
  </w:footnote>
  <w:footnote w:id="1">
    <w:p w14:paraId="63DB9A44" w14:textId="77777777" w:rsidR="00276122" w:rsidRDefault="00276122" w:rsidP="00276122">
      <w:pPr>
        <w:pStyle w:val="Notedebasdepage"/>
        <w:bidi/>
        <w:rPr>
          <w:rtl/>
        </w:rPr>
      </w:pPr>
      <w:r>
        <w:rPr>
          <w:rStyle w:val="Appelnotedebasdep"/>
        </w:rPr>
        <w:footnoteRef/>
      </w:r>
      <w:r>
        <w:rPr>
          <w:rtl/>
        </w:rPr>
        <w:t>- ج ر عدد 02، سنة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265C"/>
    <w:multiLevelType w:val="hybridMultilevel"/>
    <w:tmpl w:val="A120C1A2"/>
    <w:lvl w:ilvl="0" w:tplc="E48438E2">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98A1C00"/>
    <w:multiLevelType w:val="hybridMultilevel"/>
    <w:tmpl w:val="5A7A7D70"/>
    <w:lvl w:ilvl="0" w:tplc="183884D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14877455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9151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22"/>
    <w:rsid w:val="00235845"/>
    <w:rsid w:val="00276122"/>
    <w:rsid w:val="008C7DC8"/>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F9C6"/>
  <w15:chartTrackingRefBased/>
  <w15:docId w15:val="{DC1B026A-114F-4958-B50E-703EC9D9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22"/>
    <w:rPr>
      <w:kern w:val="0"/>
      <w14:ligatures w14:val="none"/>
    </w:rPr>
  </w:style>
  <w:style w:type="paragraph" w:styleId="Titre1">
    <w:name w:val="heading 1"/>
    <w:basedOn w:val="Normal"/>
    <w:next w:val="Normal"/>
    <w:link w:val="Titre1Car"/>
    <w:uiPriority w:val="9"/>
    <w:qFormat/>
    <w:rsid w:val="00276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6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612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612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612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612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612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612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612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612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612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612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7612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7612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761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61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61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6122"/>
    <w:rPr>
      <w:rFonts w:eastAsiaTheme="majorEastAsia" w:cstheme="majorBidi"/>
      <w:color w:val="272727" w:themeColor="text1" w:themeTint="D8"/>
    </w:rPr>
  </w:style>
  <w:style w:type="paragraph" w:styleId="Titre">
    <w:name w:val="Title"/>
    <w:basedOn w:val="Normal"/>
    <w:next w:val="Normal"/>
    <w:link w:val="TitreCar"/>
    <w:uiPriority w:val="10"/>
    <w:qFormat/>
    <w:rsid w:val="00276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61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612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61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6122"/>
    <w:pPr>
      <w:spacing w:before="160"/>
      <w:jc w:val="center"/>
    </w:pPr>
    <w:rPr>
      <w:i/>
      <w:iCs/>
      <w:color w:val="404040" w:themeColor="text1" w:themeTint="BF"/>
    </w:rPr>
  </w:style>
  <w:style w:type="character" w:customStyle="1" w:styleId="CitationCar">
    <w:name w:val="Citation Car"/>
    <w:basedOn w:val="Policepardfaut"/>
    <w:link w:val="Citation"/>
    <w:uiPriority w:val="29"/>
    <w:rsid w:val="00276122"/>
    <w:rPr>
      <w:i/>
      <w:iCs/>
      <w:color w:val="404040" w:themeColor="text1" w:themeTint="BF"/>
    </w:rPr>
  </w:style>
  <w:style w:type="paragraph" w:styleId="Paragraphedeliste">
    <w:name w:val="List Paragraph"/>
    <w:basedOn w:val="Normal"/>
    <w:uiPriority w:val="34"/>
    <w:qFormat/>
    <w:rsid w:val="00276122"/>
    <w:pPr>
      <w:ind w:left="720"/>
      <w:contextualSpacing/>
    </w:pPr>
  </w:style>
  <w:style w:type="character" w:styleId="Accentuationintense">
    <w:name w:val="Intense Emphasis"/>
    <w:basedOn w:val="Policepardfaut"/>
    <w:uiPriority w:val="21"/>
    <w:qFormat/>
    <w:rsid w:val="00276122"/>
    <w:rPr>
      <w:i/>
      <w:iCs/>
      <w:color w:val="0F4761" w:themeColor="accent1" w:themeShade="BF"/>
    </w:rPr>
  </w:style>
  <w:style w:type="paragraph" w:styleId="Citationintense">
    <w:name w:val="Intense Quote"/>
    <w:basedOn w:val="Normal"/>
    <w:next w:val="Normal"/>
    <w:link w:val="CitationintenseCar"/>
    <w:uiPriority w:val="30"/>
    <w:qFormat/>
    <w:rsid w:val="00276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6122"/>
    <w:rPr>
      <w:i/>
      <w:iCs/>
      <w:color w:val="0F4761" w:themeColor="accent1" w:themeShade="BF"/>
    </w:rPr>
  </w:style>
  <w:style w:type="character" w:styleId="Rfrenceintense">
    <w:name w:val="Intense Reference"/>
    <w:basedOn w:val="Policepardfaut"/>
    <w:uiPriority w:val="32"/>
    <w:qFormat/>
    <w:rsid w:val="00276122"/>
    <w:rPr>
      <w:b/>
      <w:bCs/>
      <w:smallCaps/>
      <w:color w:val="0F4761" w:themeColor="accent1" w:themeShade="BF"/>
      <w:spacing w:val="5"/>
    </w:rPr>
  </w:style>
  <w:style w:type="paragraph" w:styleId="Notedebasdepage">
    <w:name w:val="footnote text"/>
    <w:basedOn w:val="Normal"/>
    <w:link w:val="NotedebasdepageCar"/>
    <w:uiPriority w:val="99"/>
    <w:unhideWhenUsed/>
    <w:rsid w:val="00276122"/>
    <w:pPr>
      <w:spacing w:after="0" w:line="240" w:lineRule="auto"/>
    </w:pPr>
    <w:rPr>
      <w:sz w:val="20"/>
      <w:szCs w:val="20"/>
    </w:rPr>
  </w:style>
  <w:style w:type="character" w:customStyle="1" w:styleId="NotedebasdepageCar">
    <w:name w:val="Note de bas de page Car"/>
    <w:basedOn w:val="Policepardfaut"/>
    <w:link w:val="Notedebasdepage"/>
    <w:uiPriority w:val="99"/>
    <w:rsid w:val="00276122"/>
    <w:rPr>
      <w:kern w:val="0"/>
      <w:sz w:val="20"/>
      <w:szCs w:val="20"/>
      <w14:ligatures w14:val="none"/>
    </w:rPr>
  </w:style>
  <w:style w:type="character" w:styleId="Appelnotedebasdep">
    <w:name w:val="footnote reference"/>
    <w:basedOn w:val="Policepardfaut"/>
    <w:uiPriority w:val="99"/>
    <w:semiHidden/>
    <w:unhideWhenUsed/>
    <w:rsid w:val="002761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3721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2025-02-07T14:00:00Z</dcterms:created>
  <dcterms:modified xsi:type="dcterms:W3CDTF">2025-02-07T14:02:00Z</dcterms:modified>
</cp:coreProperties>
</file>