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34D8" w14:textId="77777777" w:rsidR="000D040D" w:rsidRDefault="000D040D" w:rsidP="000D040D">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المحاضرة الثامنة</w:t>
      </w:r>
      <w:r>
        <w:rPr>
          <w:rFonts w:ascii="Simplified Arabic" w:hAnsi="Simplified Arabic" w:cs="Simplified Arabic"/>
          <w:b/>
          <w:bCs/>
          <w:sz w:val="28"/>
          <w:szCs w:val="28"/>
          <w:rtl/>
        </w:rPr>
        <w:t>: مجالس الاستئناف العسكرية</w:t>
      </w:r>
    </w:p>
    <w:p w14:paraId="2DB610C5" w14:textId="77777777" w:rsidR="000D040D" w:rsidRDefault="000D040D" w:rsidP="000D040D">
      <w:pPr>
        <w:bidi/>
        <w:ind w:firstLine="708"/>
        <w:rPr>
          <w:rFonts w:ascii="Simplified Arabic" w:hAnsi="Simplified Arabic" w:cs="Simplified Arabic"/>
          <w:sz w:val="28"/>
          <w:szCs w:val="28"/>
          <w:rtl/>
        </w:rPr>
      </w:pPr>
      <w:r>
        <w:rPr>
          <w:rFonts w:ascii="Simplified Arabic" w:hAnsi="Simplified Arabic" w:cs="Simplified Arabic"/>
          <w:sz w:val="28"/>
          <w:szCs w:val="28"/>
          <w:rtl/>
        </w:rPr>
        <w:t xml:space="preserve">لم تكن مجالس الاستئناف العسكرية موجودة من قبل تعديل قانون القضاء العسكري بموجب </w:t>
      </w:r>
      <w:r>
        <w:rPr>
          <w:rFonts w:ascii="Simplified Arabic" w:hAnsi="Simplified Arabic" w:cs="Simplified Arabic"/>
          <w:b/>
          <w:bCs/>
          <w:sz w:val="28"/>
          <w:szCs w:val="28"/>
          <w:rtl/>
        </w:rPr>
        <w:t>القانون 18/14،</w:t>
      </w:r>
      <w:r>
        <w:rPr>
          <w:rFonts w:ascii="Simplified Arabic" w:hAnsi="Simplified Arabic" w:cs="Simplified Arabic"/>
          <w:sz w:val="28"/>
          <w:szCs w:val="28"/>
          <w:rtl/>
        </w:rPr>
        <w:t xml:space="preserve"> وكان الهدف من انشاء هذه الجهات هو تجسيد مبدأ التقاضي على درجتين </w:t>
      </w:r>
    </w:p>
    <w:p w14:paraId="3CAE284A" w14:textId="77777777" w:rsidR="000D040D" w:rsidRDefault="000D040D" w:rsidP="000D040D">
      <w:pPr>
        <w:bidi/>
        <w:ind w:firstLine="708"/>
        <w:jc w:val="both"/>
        <w:rPr>
          <w:rFonts w:ascii="Simplified Arabic" w:hAnsi="Simplified Arabic" w:cs="Simplified Arabic"/>
          <w:sz w:val="28"/>
          <w:szCs w:val="28"/>
          <w:rtl/>
          <w:lang w:bidi="ar-DZ"/>
        </w:rPr>
      </w:pPr>
      <w:r>
        <w:rPr>
          <w:rFonts w:ascii="Simplified Arabic" w:hAnsi="Simplified Arabic" w:cs="Simplified Arabic"/>
          <w:sz w:val="28"/>
          <w:szCs w:val="28"/>
          <w:rtl/>
        </w:rPr>
        <w:t xml:space="preserve">وحسب </w:t>
      </w:r>
      <w:r>
        <w:rPr>
          <w:rFonts w:ascii="Simplified Arabic" w:hAnsi="Simplified Arabic" w:cs="Simplified Arabic"/>
          <w:b/>
          <w:bCs/>
          <w:sz w:val="28"/>
          <w:szCs w:val="28"/>
          <w:rtl/>
        </w:rPr>
        <w:t>المادة 04</w:t>
      </w:r>
      <w:r>
        <w:rPr>
          <w:rFonts w:ascii="Simplified Arabic" w:hAnsi="Simplified Arabic" w:cs="Simplified Arabic"/>
          <w:sz w:val="28"/>
          <w:szCs w:val="28"/>
          <w:rtl/>
        </w:rPr>
        <w:t xml:space="preserve"> من قانون القضاء العسكري بوجد على مستوى كل ناحية عسكرية مجلس استئناف عسكري </w:t>
      </w:r>
      <w:r>
        <w:rPr>
          <w:rFonts w:ascii="Simplified Arabic" w:hAnsi="Simplified Arabic" w:cs="Simplified Arabic"/>
          <w:sz w:val="28"/>
          <w:szCs w:val="28"/>
          <w:rtl/>
          <w:lang w:bidi="ar-DZ"/>
        </w:rPr>
        <w:t>ويمكن أن تعقد المجالس الاستئنافية العسكرية جلساتها في أي مكان من إقليم الناحية العسكرية وذلك بموجب مقرر من وزير الدفاع الوطني.</w:t>
      </w:r>
      <w:r>
        <w:rPr>
          <w:rStyle w:val="Appelnotedebasdep"/>
          <w:rFonts w:ascii="Simplified Arabic" w:hAnsi="Simplified Arabic" w:cs="Simplified Arabic"/>
          <w:rtl/>
          <w:lang w:bidi="ar-DZ"/>
        </w:rPr>
        <w:footnoteReference w:id="1"/>
      </w:r>
    </w:p>
    <w:p w14:paraId="004C66BE" w14:textId="77777777" w:rsidR="000D040D" w:rsidRDefault="000D040D" w:rsidP="000D040D">
      <w:pPr>
        <w:bidi/>
        <w:ind w:firstLine="708"/>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بذلك فعدد المجالس العسكرية 06، الأولى لدى الناحية العسكرية الأولى بالبليدة </w:t>
      </w:r>
      <w:proofErr w:type="gramStart"/>
      <w:r>
        <w:rPr>
          <w:rFonts w:ascii="Simplified Arabic" w:hAnsi="Simplified Arabic" w:cs="Simplified Arabic"/>
          <w:sz w:val="28"/>
          <w:szCs w:val="28"/>
          <w:rtl/>
          <w:lang w:bidi="ar-DZ"/>
        </w:rPr>
        <w:t>و الثانية</w:t>
      </w:r>
      <w:proofErr w:type="gramEnd"/>
      <w:r>
        <w:rPr>
          <w:rFonts w:ascii="Simplified Arabic" w:hAnsi="Simplified Arabic" w:cs="Simplified Arabic"/>
          <w:sz w:val="28"/>
          <w:szCs w:val="28"/>
          <w:rtl/>
          <w:lang w:bidi="ar-DZ"/>
        </w:rPr>
        <w:t xml:space="preserve"> لدى الناحية العسكرية الثانية بوهران وثالثة لدى مقر الناحية العسكرية الثالثة ببشار، الرابعة لدى الناحية العسكرية الرابعة </w:t>
      </w:r>
      <w:proofErr w:type="spellStart"/>
      <w:r>
        <w:rPr>
          <w:rFonts w:ascii="Simplified Arabic" w:hAnsi="Simplified Arabic" w:cs="Simplified Arabic"/>
          <w:sz w:val="28"/>
          <w:szCs w:val="28"/>
          <w:rtl/>
          <w:lang w:bidi="ar-DZ"/>
        </w:rPr>
        <w:t>بورقلة</w:t>
      </w:r>
      <w:proofErr w:type="spellEnd"/>
      <w:r>
        <w:rPr>
          <w:rFonts w:ascii="Simplified Arabic" w:hAnsi="Simplified Arabic" w:cs="Simplified Arabic"/>
          <w:sz w:val="28"/>
          <w:szCs w:val="28"/>
          <w:rtl/>
          <w:lang w:bidi="ar-DZ"/>
        </w:rPr>
        <w:t xml:space="preserve"> وخامسة لدى الناحية العسكرية الخامسة ومقرها قسنطينة والسادسة لدى مقر الناحية العسكرية السادسة ومقرها تمنراست.</w:t>
      </w:r>
      <w:r>
        <w:rPr>
          <w:rStyle w:val="Appelnotedebasdep"/>
          <w:rFonts w:ascii="Simplified Arabic" w:hAnsi="Simplified Arabic" w:cs="Simplified Arabic"/>
          <w:rtl/>
          <w:lang w:bidi="ar-DZ"/>
        </w:rPr>
        <w:footnoteReference w:id="2"/>
      </w:r>
    </w:p>
    <w:p w14:paraId="0E0E41EC"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وحسب </w:t>
      </w:r>
      <w:r>
        <w:rPr>
          <w:rFonts w:ascii="Simplified Arabic" w:hAnsi="Simplified Arabic" w:cs="Simplified Arabic"/>
          <w:b/>
          <w:bCs/>
          <w:sz w:val="28"/>
          <w:szCs w:val="28"/>
          <w:rtl/>
          <w:lang w:bidi="ar-DZ"/>
        </w:rPr>
        <w:t xml:space="preserve">المادة 05 مكرر فقرة 01 من قانون القضاء العسكري </w:t>
      </w:r>
      <w:r>
        <w:rPr>
          <w:rFonts w:ascii="Simplified Arabic" w:hAnsi="Simplified Arabic" w:cs="Simplified Arabic"/>
          <w:sz w:val="28"/>
          <w:szCs w:val="28"/>
          <w:rtl/>
          <w:lang w:bidi="ar-DZ"/>
        </w:rPr>
        <w:t>يضم مجلس الاستئناف العسكري جهة حكم وجهة نيابة عسكرية وغرفة اتهام وكتابة ضبط.</w:t>
      </w:r>
    </w:p>
    <w:p w14:paraId="5403A55F"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وتتشكل غرفة الاتهام بمجلس الاستئناف العسكري من رئيس والذي يكون قاضي من المجالس القضائية له رتبة رئيس غرفة بالمجلس القضائي على الأقل، ويعين رئيس غرفة الاتهام لمدة سنة واحدة قابلة للتجديد بقرار مشترك بين وزير الدفاع </w:t>
      </w:r>
      <w:proofErr w:type="gramStart"/>
      <w:r>
        <w:rPr>
          <w:rFonts w:ascii="Simplified Arabic" w:hAnsi="Simplified Arabic" w:cs="Simplified Arabic"/>
          <w:sz w:val="28"/>
          <w:szCs w:val="28"/>
          <w:rtl/>
          <w:lang w:bidi="ar-DZ"/>
        </w:rPr>
        <w:t>و وزير</w:t>
      </w:r>
      <w:proofErr w:type="gramEnd"/>
      <w:r>
        <w:rPr>
          <w:rFonts w:ascii="Simplified Arabic" w:hAnsi="Simplified Arabic" w:cs="Simplified Arabic"/>
          <w:sz w:val="28"/>
          <w:szCs w:val="28"/>
          <w:rtl/>
          <w:lang w:bidi="ar-DZ"/>
        </w:rPr>
        <w:t xml:space="preserve"> العدل، ويوجد بجانب رئيس غرفة الاتهام قاضيين عسكريين اثنين</w:t>
      </w:r>
    </w:p>
    <w:p w14:paraId="2AEBFCEB" w14:textId="77777777" w:rsidR="000D040D" w:rsidRDefault="000D040D" w:rsidP="000D040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Pr>
          <w:rFonts w:ascii="Simplified Arabic" w:hAnsi="Simplified Arabic" w:cs="Simplified Arabic"/>
          <w:b/>
          <w:bCs/>
          <w:sz w:val="28"/>
          <w:szCs w:val="28"/>
          <w:rtl/>
          <w:lang w:bidi="ar-DZ"/>
        </w:rPr>
        <w:t xml:space="preserve"> تشكيلة المجالس الاستئنافية العسكرية</w:t>
      </w:r>
    </w:p>
    <w:p w14:paraId="3A529365" w14:textId="77777777" w:rsidR="000D040D" w:rsidRDefault="000D040D" w:rsidP="000D040D">
      <w:pPr>
        <w:bidi/>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lastRenderedPageBreak/>
        <w:t xml:space="preserve">وفقا </w:t>
      </w:r>
      <w:r>
        <w:rPr>
          <w:rFonts w:ascii="Simplified Arabic" w:hAnsi="Simplified Arabic" w:cs="Simplified Arabic"/>
          <w:b/>
          <w:bCs/>
          <w:sz w:val="28"/>
          <w:szCs w:val="28"/>
          <w:rtl/>
          <w:lang w:bidi="ar-DZ"/>
        </w:rPr>
        <w:t xml:space="preserve">للفقرة 02 من المادة 05 مكرر من قانون القضاء العسكري </w:t>
      </w:r>
      <w:r>
        <w:rPr>
          <w:rFonts w:ascii="Simplified Arabic" w:hAnsi="Simplified Arabic" w:cs="Simplified Arabic"/>
          <w:sz w:val="28"/>
          <w:szCs w:val="28"/>
          <w:rtl/>
          <w:lang w:bidi="ar-DZ"/>
        </w:rPr>
        <w:t xml:space="preserve">تتكون جهة الحكم لمجلس الاستئناف العسكري من قاض بصفته رئيس لديه رتبة رئيس غرفة بالمجلس القضائي على الأقل </w:t>
      </w:r>
      <w:proofErr w:type="gramStart"/>
      <w:r>
        <w:rPr>
          <w:rFonts w:ascii="Simplified Arabic" w:hAnsi="Simplified Arabic" w:cs="Simplified Arabic"/>
          <w:sz w:val="28"/>
          <w:szCs w:val="28"/>
          <w:rtl/>
          <w:lang w:bidi="ar-DZ"/>
        </w:rPr>
        <w:t>و قاضيين</w:t>
      </w:r>
      <w:proofErr w:type="gramEnd"/>
      <w:r>
        <w:rPr>
          <w:rFonts w:ascii="Simplified Arabic" w:hAnsi="Simplified Arabic" w:cs="Simplified Arabic"/>
          <w:sz w:val="28"/>
          <w:szCs w:val="28"/>
          <w:rtl/>
          <w:lang w:bidi="ar-DZ"/>
        </w:rPr>
        <w:t xml:space="preserve"> عسكريين اثنين ومساعدين عسكريين اثنين، </w:t>
      </w:r>
      <w:r>
        <w:rPr>
          <w:rFonts w:ascii="Simplified Arabic" w:hAnsi="Simplified Arabic" w:cs="Simplified Arabic"/>
          <w:b/>
          <w:bCs/>
          <w:sz w:val="28"/>
          <w:szCs w:val="28"/>
          <w:rtl/>
          <w:lang w:bidi="ar-DZ"/>
        </w:rPr>
        <w:t>وهذا وفقا للمادة 10 مكرر من قانون القضاء العسكري.</w:t>
      </w:r>
    </w:p>
    <w:p w14:paraId="0CED633C"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ونتناول هذه التشكيلة تفصيلا على النحو </w:t>
      </w:r>
      <w:proofErr w:type="spellStart"/>
      <w:r>
        <w:rPr>
          <w:rFonts w:ascii="Simplified Arabic" w:hAnsi="Simplified Arabic" w:cs="Simplified Arabic"/>
          <w:sz w:val="28"/>
          <w:szCs w:val="28"/>
          <w:rtl/>
          <w:lang w:bidi="ar-DZ"/>
        </w:rPr>
        <w:t>الأتي</w:t>
      </w:r>
      <w:proofErr w:type="spellEnd"/>
      <w:r>
        <w:rPr>
          <w:rFonts w:ascii="Simplified Arabic" w:hAnsi="Simplified Arabic" w:cs="Simplified Arabic"/>
          <w:sz w:val="28"/>
          <w:szCs w:val="28"/>
          <w:rtl/>
          <w:lang w:bidi="ar-DZ"/>
        </w:rPr>
        <w:t>:</w:t>
      </w:r>
    </w:p>
    <w:p w14:paraId="0A04AA99" w14:textId="77777777" w:rsidR="000D040D" w:rsidRDefault="000D040D" w:rsidP="000D040D">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1/ رئيس مجلس الاستئناف العسكري</w:t>
      </w:r>
      <w:r>
        <w:rPr>
          <w:rFonts w:ascii="Simplified Arabic" w:hAnsi="Simplified Arabic" w:cs="Simplified Arabic"/>
          <w:sz w:val="28"/>
          <w:szCs w:val="28"/>
          <w:rtl/>
          <w:lang w:bidi="ar-DZ"/>
        </w:rPr>
        <w:t xml:space="preserve">: يعين لمدة سنة واحدة قابلة للتجديد بموجب قرار مشترك بين وزير الدفاع الوطني ووزير العدل، ويكون برتبة مستشار من المجلس </w:t>
      </w:r>
      <w:proofErr w:type="gramStart"/>
      <w:r>
        <w:rPr>
          <w:rFonts w:ascii="Simplified Arabic" w:hAnsi="Simplified Arabic" w:cs="Simplified Arabic"/>
          <w:sz w:val="28"/>
          <w:szCs w:val="28"/>
          <w:rtl/>
          <w:lang w:bidi="ar-DZ"/>
        </w:rPr>
        <w:t>القضائي.(</w:t>
      </w:r>
      <w:proofErr w:type="gramEnd"/>
      <w:r>
        <w:rPr>
          <w:rFonts w:ascii="Simplified Arabic" w:hAnsi="Simplified Arabic" w:cs="Simplified Arabic"/>
          <w:b/>
          <w:bCs/>
          <w:sz w:val="28"/>
          <w:szCs w:val="28"/>
          <w:rtl/>
          <w:lang w:bidi="ar-DZ"/>
        </w:rPr>
        <w:t>المادة 5 مكرر فقرة 04)</w:t>
      </w:r>
    </w:p>
    <w:p w14:paraId="70117317"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2/ القضاة: </w:t>
      </w:r>
      <w:r>
        <w:rPr>
          <w:rFonts w:ascii="Simplified Arabic" w:hAnsi="Simplified Arabic" w:cs="Simplified Arabic"/>
          <w:sz w:val="28"/>
          <w:szCs w:val="28"/>
          <w:rtl/>
          <w:lang w:bidi="ar-DZ"/>
        </w:rPr>
        <w:t>تتكون جهة الحكم لمجلس الاستئناف العسكري من قاض بصفة رئيس لديه رتبة رئيس غرفة بالمجلس قضائي.</w:t>
      </w:r>
    </w:p>
    <w:p w14:paraId="68792C71"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3/ المساعدين:</w:t>
      </w:r>
      <w:r>
        <w:rPr>
          <w:rFonts w:ascii="Simplified Arabic" w:hAnsi="Simplified Arabic" w:cs="Simplified Arabic"/>
          <w:sz w:val="28"/>
          <w:szCs w:val="28"/>
          <w:rtl/>
          <w:lang w:bidi="ar-DZ"/>
        </w:rPr>
        <w:t xml:space="preserve"> حسب المادة 06 من قانون القضاء العسكري، </w:t>
      </w:r>
      <w:proofErr w:type="spellStart"/>
      <w:r>
        <w:rPr>
          <w:rFonts w:ascii="Simplified Arabic" w:hAnsi="Simplified Arabic" w:cs="Simplified Arabic"/>
          <w:sz w:val="28"/>
          <w:szCs w:val="28"/>
          <w:rtl/>
          <w:lang w:bidi="ar-DZ"/>
        </w:rPr>
        <w:t>ىعين</w:t>
      </w:r>
      <w:proofErr w:type="spellEnd"/>
      <w:r>
        <w:rPr>
          <w:rFonts w:ascii="Simplified Arabic" w:hAnsi="Simplified Arabic" w:cs="Simplified Arabic"/>
          <w:sz w:val="28"/>
          <w:szCs w:val="28"/>
          <w:rtl/>
          <w:lang w:bidi="ar-DZ"/>
        </w:rPr>
        <w:t xml:space="preserve"> المساعدون العسكريون لمدة سنة واحدة بموجب قرار مشترك بين وزير الدفاع الوطني ووزير العدل.</w:t>
      </w:r>
    </w:p>
    <w:p w14:paraId="0BAAEB42"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وبالنسبة للمساعدين، فإنه يراعى في تشكيل مجلس الاستئناف العسكري رتبة المتهم أو مرتبته يوم المحاكمة، فعندما يكون المتهم رجل صف أو </w:t>
      </w:r>
      <w:proofErr w:type="spellStart"/>
      <w:r>
        <w:rPr>
          <w:rFonts w:ascii="Simplified Arabic" w:hAnsi="Simplified Arabic" w:cs="Simplified Arabic"/>
          <w:sz w:val="28"/>
          <w:szCs w:val="28"/>
          <w:rtl/>
          <w:lang w:bidi="ar-DZ"/>
        </w:rPr>
        <w:t>ظابط</w:t>
      </w:r>
      <w:proofErr w:type="spellEnd"/>
      <w:r>
        <w:rPr>
          <w:rFonts w:ascii="Simplified Arabic" w:hAnsi="Simplified Arabic" w:cs="Simplified Arabic"/>
          <w:sz w:val="28"/>
          <w:szCs w:val="28"/>
          <w:rtl/>
          <w:lang w:bidi="ar-DZ"/>
        </w:rPr>
        <w:t xml:space="preserve"> صف يتعين أن يكون أحد المساعدين العسكريين ضابط صف وعندما يكون المتهم ضابط يتعين أن يكون المساعدان ضابطين على الأقل من نفس رتبة المتهم، وفي حالة تعدد المتهمين من ذوي الرتب المختلفة يراعى في ذلك الحد الأعلى للرتبة </w:t>
      </w:r>
      <w:proofErr w:type="gramStart"/>
      <w:r>
        <w:rPr>
          <w:rFonts w:ascii="Simplified Arabic" w:hAnsi="Simplified Arabic" w:cs="Simplified Arabic"/>
          <w:sz w:val="28"/>
          <w:szCs w:val="28"/>
          <w:rtl/>
          <w:lang w:bidi="ar-DZ"/>
        </w:rPr>
        <w:t>و الأقدمية</w:t>
      </w:r>
      <w:proofErr w:type="gramEnd"/>
      <w:r>
        <w:rPr>
          <w:rFonts w:ascii="Simplified Arabic" w:hAnsi="Simplified Arabic" w:cs="Simplified Arabic"/>
          <w:sz w:val="28"/>
          <w:szCs w:val="28"/>
          <w:rtl/>
          <w:lang w:bidi="ar-DZ"/>
        </w:rPr>
        <w:t>.</w:t>
      </w:r>
      <w:r>
        <w:rPr>
          <w:rStyle w:val="Appelnotedebasdep"/>
          <w:rFonts w:ascii="Simplified Arabic" w:hAnsi="Simplified Arabic" w:cs="Simplified Arabic"/>
          <w:rtl/>
          <w:lang w:bidi="ar-DZ"/>
        </w:rPr>
        <w:footnoteReference w:id="3"/>
      </w:r>
    </w:p>
    <w:p w14:paraId="370FEE49" w14:textId="77777777" w:rsidR="000D040D" w:rsidRDefault="000D040D" w:rsidP="000D040D">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4/ النائب العام العسكري: </w:t>
      </w:r>
      <w:r>
        <w:rPr>
          <w:rFonts w:ascii="Simplified Arabic" w:hAnsi="Simplified Arabic" w:cs="Simplified Arabic"/>
          <w:sz w:val="28"/>
          <w:szCs w:val="28"/>
          <w:rtl/>
          <w:lang w:bidi="ar-DZ"/>
        </w:rPr>
        <w:t xml:space="preserve">يتولى مهام النيابة العسكرية، يمارس مهامه طبقا لأحكام قانون الإجراءات الجزائية ويكلف بالإدارة </w:t>
      </w:r>
      <w:proofErr w:type="gramStart"/>
      <w:r>
        <w:rPr>
          <w:rFonts w:ascii="Simplified Arabic" w:hAnsi="Simplified Arabic" w:cs="Simplified Arabic"/>
          <w:sz w:val="28"/>
          <w:szCs w:val="28"/>
          <w:rtl/>
          <w:lang w:bidi="ar-DZ"/>
        </w:rPr>
        <w:t>و الانضباط</w:t>
      </w:r>
      <w:proofErr w:type="gramEnd"/>
      <w:r>
        <w:rPr>
          <w:rFonts w:ascii="Simplified Arabic" w:hAnsi="Simplified Arabic" w:cs="Simplified Arabic"/>
          <w:sz w:val="28"/>
          <w:szCs w:val="28"/>
          <w:rtl/>
          <w:lang w:bidi="ar-DZ"/>
        </w:rPr>
        <w:t>،</w:t>
      </w:r>
      <w:r>
        <w:rPr>
          <w:rFonts w:ascii="Simplified Arabic" w:hAnsi="Simplified Arabic" w:cs="Simplified Arabic"/>
          <w:b/>
          <w:bCs/>
          <w:sz w:val="28"/>
          <w:szCs w:val="28"/>
          <w:rtl/>
          <w:lang w:bidi="ar-DZ"/>
        </w:rPr>
        <w:t xml:space="preserve"> وهذا وفقا للمادة 10 من قانون القضاء العسكري.</w:t>
      </w:r>
    </w:p>
    <w:p w14:paraId="79353FE8"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5/ نائب أو عدة نواب عسكريون مساعدون</w:t>
      </w:r>
      <w:r>
        <w:rPr>
          <w:rFonts w:ascii="Simplified Arabic" w:hAnsi="Simplified Arabic" w:cs="Simplified Arabic"/>
          <w:sz w:val="28"/>
          <w:szCs w:val="28"/>
          <w:rtl/>
          <w:lang w:bidi="ar-DZ"/>
        </w:rPr>
        <w:t>: يساعد النائب العام العسكري</w:t>
      </w:r>
    </w:p>
    <w:p w14:paraId="0AE19BE0" w14:textId="77777777" w:rsidR="000D040D" w:rsidRDefault="000D040D" w:rsidP="000D040D">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6/ قاضي التحقيق العسكري</w:t>
      </w:r>
      <w:r>
        <w:rPr>
          <w:rFonts w:ascii="Simplified Arabic" w:hAnsi="Simplified Arabic" w:cs="Simplified Arabic"/>
          <w:sz w:val="28"/>
          <w:szCs w:val="28"/>
          <w:rtl/>
          <w:lang w:bidi="ar-DZ"/>
        </w:rPr>
        <w:t>: يتولى إجراءات التحقيق طبقا لقانون الإجراءات الجزائية (</w:t>
      </w:r>
      <w:r>
        <w:rPr>
          <w:rFonts w:ascii="Simplified Arabic" w:hAnsi="Simplified Arabic" w:cs="Simplified Arabic"/>
          <w:b/>
          <w:bCs/>
          <w:sz w:val="28"/>
          <w:szCs w:val="28"/>
          <w:rtl/>
          <w:lang w:bidi="ar-DZ"/>
        </w:rPr>
        <w:t>المادة 10 مكرر01 قانون القضاء العسكري)</w:t>
      </w:r>
    </w:p>
    <w:p w14:paraId="0C2585C5"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7/ كاتب الضبط</w:t>
      </w:r>
      <w:r>
        <w:rPr>
          <w:rFonts w:ascii="Simplified Arabic" w:hAnsi="Simplified Arabic" w:cs="Simplified Arabic"/>
          <w:sz w:val="28"/>
          <w:szCs w:val="28"/>
          <w:rtl/>
          <w:lang w:bidi="ar-DZ"/>
        </w:rPr>
        <w:t xml:space="preserve">: يشرف على أمانة الضبط ويتولى أعمال الجلسات </w:t>
      </w:r>
      <w:proofErr w:type="gramStart"/>
      <w:r>
        <w:rPr>
          <w:rFonts w:ascii="Simplified Arabic" w:hAnsi="Simplified Arabic" w:cs="Simplified Arabic"/>
          <w:sz w:val="28"/>
          <w:szCs w:val="28"/>
          <w:rtl/>
          <w:lang w:bidi="ar-DZ"/>
        </w:rPr>
        <w:t>و الكتابات</w:t>
      </w:r>
      <w:proofErr w:type="gramEnd"/>
      <w:r>
        <w:rPr>
          <w:rFonts w:ascii="Simplified Arabic" w:hAnsi="Simplified Arabic" w:cs="Simplified Arabic"/>
          <w:sz w:val="28"/>
          <w:szCs w:val="28"/>
          <w:rtl/>
          <w:lang w:bidi="ar-DZ"/>
        </w:rPr>
        <w:t xml:space="preserve"> ويكون برتبة ضابط أو ضابط الصف الأكثر أقدمية.</w:t>
      </w:r>
      <w:r>
        <w:rPr>
          <w:rStyle w:val="Appelnotedebasdep"/>
          <w:rFonts w:ascii="Simplified Arabic" w:hAnsi="Simplified Arabic" w:cs="Simplified Arabic"/>
          <w:rtl/>
          <w:lang w:bidi="ar-DZ"/>
        </w:rPr>
        <w:footnoteReference w:id="4"/>
      </w:r>
    </w:p>
    <w:p w14:paraId="16897C2F"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غير أنه في مواد الجنايات، فإنه حسب </w:t>
      </w:r>
      <w:r>
        <w:rPr>
          <w:rFonts w:ascii="Simplified Arabic" w:hAnsi="Simplified Arabic" w:cs="Simplified Arabic"/>
          <w:b/>
          <w:bCs/>
          <w:sz w:val="28"/>
          <w:szCs w:val="28"/>
          <w:rtl/>
          <w:lang w:bidi="ar-DZ"/>
        </w:rPr>
        <w:t>الفقرة 03 من المادة 05 مكرر</w:t>
      </w:r>
      <w:r>
        <w:rPr>
          <w:rFonts w:ascii="Simplified Arabic" w:hAnsi="Simplified Arabic" w:cs="Simplified Arabic"/>
          <w:sz w:val="28"/>
          <w:szCs w:val="28"/>
          <w:rtl/>
          <w:lang w:bidi="ar-DZ"/>
        </w:rPr>
        <w:t xml:space="preserve"> من قانون القضاء العسكري، فإن تشكيلة المحكمة تضم زيادة على الرئيس قاضيين عسكريين اثنين ومساعدين عسكريين اثنين.</w:t>
      </w:r>
    </w:p>
    <w:p w14:paraId="336DD198" w14:textId="77777777" w:rsidR="000D040D" w:rsidRDefault="000D040D" w:rsidP="000D040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Pr>
          <w:rFonts w:ascii="Simplified Arabic" w:hAnsi="Simplified Arabic" w:cs="Simplified Arabic"/>
          <w:b/>
          <w:bCs/>
          <w:sz w:val="28"/>
          <w:szCs w:val="28"/>
          <w:rtl/>
          <w:lang w:bidi="ar-DZ"/>
        </w:rPr>
        <w:t>: اختصاصات المجالس الاستئنافية العسكرية</w:t>
      </w:r>
    </w:p>
    <w:p w14:paraId="170E88BE"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يختص مجلس الاستئناف العسكري بالفصل في الاستئنافات المرفوعة إليه في الأحكام الصادرة عن المحاكم العسكرية وذلك حسب المادة 179 من قانون القضاء العسكري وتطبق إجراءات وقواعد </w:t>
      </w:r>
      <w:proofErr w:type="gramStart"/>
      <w:r>
        <w:rPr>
          <w:rFonts w:ascii="Simplified Arabic" w:hAnsi="Simplified Arabic" w:cs="Simplified Arabic"/>
          <w:sz w:val="28"/>
          <w:szCs w:val="28"/>
          <w:rtl/>
          <w:lang w:bidi="ar-DZ"/>
        </w:rPr>
        <w:t>و أجال</w:t>
      </w:r>
      <w:proofErr w:type="gramEnd"/>
      <w:r>
        <w:rPr>
          <w:rFonts w:ascii="Simplified Arabic" w:hAnsi="Simplified Arabic" w:cs="Simplified Arabic"/>
          <w:sz w:val="28"/>
          <w:szCs w:val="28"/>
          <w:rtl/>
          <w:lang w:bidi="ar-DZ"/>
        </w:rPr>
        <w:t xml:space="preserve"> الاستئناف وفقا لقانون الإجراءات الجزائية.</w:t>
      </w:r>
    </w:p>
    <w:p w14:paraId="23A0904E" w14:textId="77777777" w:rsidR="000D040D" w:rsidRDefault="000D040D" w:rsidP="000D040D">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ويجوز في كل وقت الطعن بالنقض في القرارات الصادرة عن مجالس الاستئناف العسكرية وفقا لأحكام المادتين 180 </w:t>
      </w:r>
      <w:proofErr w:type="gramStart"/>
      <w:r>
        <w:rPr>
          <w:rFonts w:ascii="Simplified Arabic" w:hAnsi="Simplified Arabic" w:cs="Simplified Arabic"/>
          <w:sz w:val="28"/>
          <w:szCs w:val="28"/>
          <w:rtl/>
          <w:lang w:bidi="ar-DZ"/>
        </w:rPr>
        <w:t>و 181</w:t>
      </w:r>
      <w:proofErr w:type="gramEnd"/>
      <w:r>
        <w:rPr>
          <w:rFonts w:ascii="Simplified Arabic" w:hAnsi="Simplified Arabic" w:cs="Simplified Arabic"/>
          <w:sz w:val="28"/>
          <w:szCs w:val="28"/>
          <w:rtl/>
          <w:lang w:bidi="ar-DZ"/>
        </w:rPr>
        <w:t xml:space="preserve"> من قانون القضاء العسكري.</w:t>
      </w:r>
    </w:p>
    <w:p w14:paraId="61CCCB6A" w14:textId="77777777" w:rsidR="000D040D" w:rsidRDefault="000D040D" w:rsidP="000D040D">
      <w:pPr>
        <w:bidi/>
        <w:jc w:val="both"/>
        <w:rPr>
          <w:rFonts w:ascii="Simplified Arabic" w:hAnsi="Simplified Arabic" w:cs="Simplified Arabic"/>
          <w:b/>
          <w:bCs/>
          <w:sz w:val="28"/>
          <w:szCs w:val="28"/>
          <w:rtl/>
          <w:lang w:bidi="ar-DZ"/>
        </w:rPr>
      </w:pPr>
    </w:p>
    <w:p w14:paraId="1609F1ED" w14:textId="77777777" w:rsidR="00235845" w:rsidRDefault="00235845" w:rsidP="000D040D">
      <w:pPr>
        <w:bidi/>
        <w:rPr>
          <w:rtl/>
          <w:lang w:bidi="ar-DZ"/>
        </w:rPr>
      </w:pPr>
    </w:p>
    <w:p w14:paraId="1B87C5D1" w14:textId="77777777" w:rsidR="000D040D" w:rsidRDefault="000D040D"/>
    <w:sectPr w:rsidR="000D04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4EEE4" w14:textId="77777777" w:rsidR="000D040D" w:rsidRDefault="000D040D" w:rsidP="000D040D">
      <w:pPr>
        <w:spacing w:after="0" w:line="240" w:lineRule="auto"/>
      </w:pPr>
      <w:r>
        <w:separator/>
      </w:r>
    </w:p>
  </w:endnote>
  <w:endnote w:type="continuationSeparator" w:id="0">
    <w:p w14:paraId="0EC59AF4" w14:textId="77777777" w:rsidR="000D040D" w:rsidRDefault="000D040D" w:rsidP="000D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0B6EF" w14:textId="77777777" w:rsidR="000D040D" w:rsidRDefault="000D040D" w:rsidP="000D040D">
      <w:pPr>
        <w:spacing w:after="0" w:line="240" w:lineRule="auto"/>
      </w:pPr>
      <w:r>
        <w:separator/>
      </w:r>
    </w:p>
  </w:footnote>
  <w:footnote w:type="continuationSeparator" w:id="0">
    <w:p w14:paraId="3F2BEAC6" w14:textId="77777777" w:rsidR="000D040D" w:rsidRDefault="000D040D" w:rsidP="000D040D">
      <w:pPr>
        <w:spacing w:after="0" w:line="240" w:lineRule="auto"/>
      </w:pPr>
      <w:r>
        <w:continuationSeparator/>
      </w:r>
    </w:p>
  </w:footnote>
  <w:footnote w:id="1">
    <w:p w14:paraId="08A47B80" w14:textId="77777777" w:rsidR="000D040D" w:rsidRDefault="000D040D" w:rsidP="000D040D">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المادة 04 فقرة 03 من قانون القضاء العسكري.</w:t>
      </w:r>
    </w:p>
  </w:footnote>
  <w:footnote w:id="2">
    <w:p w14:paraId="292296BF" w14:textId="77777777" w:rsidR="000D040D" w:rsidRDefault="000D040D" w:rsidP="000D040D">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حسب المرسوم الرئاسي 84/358، المؤرخ في 28 نوفمبر 1984، المتضمن إعادة التنظيم الإقليمي للنواحي العسكرية، ج ر عدد 63، المعدل </w:t>
      </w:r>
      <w:proofErr w:type="gramStart"/>
      <w:r>
        <w:rPr>
          <w:rFonts w:ascii="Simplified Arabic" w:hAnsi="Simplified Arabic" w:cs="Simplified Arabic"/>
          <w:sz w:val="24"/>
          <w:szCs w:val="24"/>
          <w:rtl/>
        </w:rPr>
        <w:t>و المتمم</w:t>
      </w:r>
      <w:proofErr w:type="gramEnd"/>
      <w:r>
        <w:rPr>
          <w:rFonts w:ascii="Simplified Arabic" w:hAnsi="Simplified Arabic" w:cs="Simplified Arabic"/>
          <w:sz w:val="24"/>
          <w:szCs w:val="24"/>
          <w:rtl/>
        </w:rPr>
        <w:t xml:space="preserve"> بالمرسوم الرئاسي 21/278، المؤرخ في 04 يوليو 2021، ج ر عدد 54، مؤرخة في 11 يوليو 2021. فإن </w:t>
      </w:r>
      <w:r>
        <w:rPr>
          <w:rFonts w:ascii="Simplified Arabic" w:hAnsi="Simplified Arabic" w:cs="Simplified Arabic"/>
          <w:b/>
          <w:bCs/>
          <w:sz w:val="24"/>
          <w:szCs w:val="24"/>
          <w:rtl/>
        </w:rPr>
        <w:t>الناحية العسكرية الأولى (البليدة)</w:t>
      </w:r>
      <w:r>
        <w:rPr>
          <w:rFonts w:ascii="Simplified Arabic" w:hAnsi="Simplified Arabic" w:cs="Simplified Arabic"/>
          <w:sz w:val="24"/>
          <w:szCs w:val="24"/>
          <w:rtl/>
        </w:rPr>
        <w:t xml:space="preserve"> تضم: الجزائر، المدية، تيزي </w:t>
      </w:r>
      <w:proofErr w:type="spellStart"/>
      <w:r>
        <w:rPr>
          <w:rFonts w:ascii="Simplified Arabic" w:hAnsi="Simplified Arabic" w:cs="Simplified Arabic"/>
          <w:sz w:val="24"/>
          <w:szCs w:val="24"/>
          <w:rtl/>
        </w:rPr>
        <w:t>وزو</w:t>
      </w:r>
      <w:proofErr w:type="spellEnd"/>
      <w:r>
        <w:rPr>
          <w:rFonts w:ascii="Simplified Arabic" w:hAnsi="Simplified Arabic" w:cs="Simplified Arabic"/>
          <w:sz w:val="24"/>
          <w:szCs w:val="24"/>
          <w:rtl/>
        </w:rPr>
        <w:t xml:space="preserve">، شلف، الجلفة، البويرة، المسيلة، عين الدفلى، بومرداس، تيبازة. وتضم </w:t>
      </w:r>
      <w:r>
        <w:rPr>
          <w:rFonts w:ascii="Simplified Arabic" w:hAnsi="Simplified Arabic" w:cs="Simplified Arabic"/>
          <w:b/>
          <w:bCs/>
          <w:sz w:val="24"/>
          <w:szCs w:val="24"/>
          <w:rtl/>
        </w:rPr>
        <w:t>الناحية العسكرية الثانية (وهران)</w:t>
      </w:r>
      <w:r>
        <w:rPr>
          <w:rFonts w:ascii="Simplified Arabic" w:hAnsi="Simplified Arabic" w:cs="Simplified Arabic"/>
          <w:sz w:val="24"/>
          <w:szCs w:val="24"/>
          <w:rtl/>
        </w:rPr>
        <w:t xml:space="preserve"> كل من: وهران، معسكر، سعيدة، تلمسان، مستغانم، سيدي بلعباس، تيارت، عين تموشنت، البيض، النعامة، غليزان، </w:t>
      </w:r>
      <w:proofErr w:type="spellStart"/>
      <w:r>
        <w:rPr>
          <w:rFonts w:ascii="Simplified Arabic" w:hAnsi="Simplified Arabic" w:cs="Simplified Arabic"/>
          <w:sz w:val="24"/>
          <w:szCs w:val="24"/>
          <w:rtl/>
        </w:rPr>
        <w:t>تسيمسيلت</w:t>
      </w:r>
      <w:proofErr w:type="spellEnd"/>
      <w:r>
        <w:rPr>
          <w:rFonts w:ascii="Simplified Arabic" w:hAnsi="Simplified Arabic" w:cs="Simplified Arabic"/>
          <w:sz w:val="24"/>
          <w:szCs w:val="24"/>
          <w:rtl/>
        </w:rPr>
        <w:t xml:space="preserve">، </w:t>
      </w:r>
      <w:proofErr w:type="gramStart"/>
      <w:r>
        <w:rPr>
          <w:rFonts w:ascii="Simplified Arabic" w:hAnsi="Simplified Arabic" w:cs="Simplified Arabic"/>
          <w:sz w:val="24"/>
          <w:szCs w:val="24"/>
          <w:rtl/>
        </w:rPr>
        <w:t xml:space="preserve">و </w:t>
      </w:r>
      <w:r>
        <w:rPr>
          <w:rFonts w:ascii="Simplified Arabic" w:hAnsi="Simplified Arabic" w:cs="Simplified Arabic"/>
          <w:b/>
          <w:bCs/>
          <w:sz w:val="24"/>
          <w:szCs w:val="24"/>
          <w:rtl/>
        </w:rPr>
        <w:t>الناحية</w:t>
      </w:r>
      <w:proofErr w:type="gramEnd"/>
      <w:r>
        <w:rPr>
          <w:rFonts w:ascii="Simplified Arabic" w:hAnsi="Simplified Arabic" w:cs="Simplified Arabic"/>
          <w:b/>
          <w:bCs/>
          <w:sz w:val="24"/>
          <w:szCs w:val="24"/>
          <w:rtl/>
        </w:rPr>
        <w:t xml:space="preserve"> العسكرية الثالثة (بشار)</w:t>
      </w:r>
      <w:r>
        <w:rPr>
          <w:rFonts w:ascii="Simplified Arabic" w:hAnsi="Simplified Arabic" w:cs="Simplified Arabic"/>
          <w:sz w:val="24"/>
          <w:szCs w:val="24"/>
          <w:rtl/>
        </w:rPr>
        <w:t xml:space="preserve"> تضم: بشار، أدرار، </w:t>
      </w:r>
      <w:proofErr w:type="spellStart"/>
      <w:r>
        <w:rPr>
          <w:rFonts w:ascii="Simplified Arabic" w:hAnsi="Simplified Arabic" w:cs="Simplified Arabic"/>
          <w:sz w:val="24"/>
          <w:szCs w:val="24"/>
          <w:rtl/>
        </w:rPr>
        <w:t>تيميمون</w:t>
      </w:r>
      <w:proofErr w:type="spellEnd"/>
      <w:r>
        <w:rPr>
          <w:rFonts w:ascii="Simplified Arabic" w:hAnsi="Simplified Arabic" w:cs="Simplified Arabic"/>
          <w:sz w:val="24"/>
          <w:szCs w:val="24"/>
          <w:rtl/>
        </w:rPr>
        <w:t xml:space="preserve">، بني عباس، تندوف. </w:t>
      </w:r>
      <w:r>
        <w:rPr>
          <w:rFonts w:ascii="Simplified Arabic" w:hAnsi="Simplified Arabic" w:cs="Simplified Arabic"/>
          <w:b/>
          <w:bCs/>
          <w:sz w:val="24"/>
          <w:szCs w:val="24"/>
          <w:rtl/>
        </w:rPr>
        <w:t>الناحية العسكرية الرابعة (ورقلة)</w:t>
      </w:r>
      <w:r>
        <w:rPr>
          <w:rFonts w:ascii="Simplified Arabic" w:hAnsi="Simplified Arabic" w:cs="Simplified Arabic"/>
          <w:sz w:val="24"/>
          <w:szCs w:val="24"/>
          <w:rtl/>
        </w:rPr>
        <w:t xml:space="preserve"> تضم: ورقلة </w:t>
      </w:r>
      <w:proofErr w:type="spellStart"/>
      <w:r>
        <w:rPr>
          <w:rFonts w:ascii="Simplified Arabic" w:hAnsi="Simplified Arabic" w:cs="Simplified Arabic"/>
          <w:sz w:val="24"/>
          <w:szCs w:val="24"/>
          <w:rtl/>
        </w:rPr>
        <w:t>توقرت</w:t>
      </w:r>
      <w:proofErr w:type="spellEnd"/>
      <w:r>
        <w:rPr>
          <w:rFonts w:ascii="Simplified Arabic" w:hAnsi="Simplified Arabic" w:cs="Simplified Arabic"/>
          <w:sz w:val="24"/>
          <w:szCs w:val="24"/>
          <w:rtl/>
        </w:rPr>
        <w:t xml:space="preserve">، بسكرة، أولاد جلال، الأغواط، الوادي، لمغير، غرداية، المنيعة، إليزي، جانت. </w:t>
      </w:r>
      <w:r>
        <w:rPr>
          <w:rFonts w:ascii="Simplified Arabic" w:hAnsi="Simplified Arabic" w:cs="Simplified Arabic"/>
          <w:b/>
          <w:bCs/>
          <w:sz w:val="24"/>
          <w:szCs w:val="24"/>
          <w:rtl/>
        </w:rPr>
        <w:t>الناحية العسكرية الخامسة (قسنطينة)</w:t>
      </w:r>
      <w:r>
        <w:rPr>
          <w:rFonts w:ascii="Simplified Arabic" w:hAnsi="Simplified Arabic" w:cs="Simplified Arabic"/>
          <w:sz w:val="24"/>
          <w:szCs w:val="24"/>
          <w:rtl/>
        </w:rPr>
        <w:t xml:space="preserve"> تضم قسنطينة، عنابة، جيجل، </w:t>
      </w:r>
      <w:proofErr w:type="spellStart"/>
      <w:proofErr w:type="gramStart"/>
      <w:r>
        <w:rPr>
          <w:rFonts w:ascii="Simplified Arabic" w:hAnsi="Simplified Arabic" w:cs="Simplified Arabic"/>
          <w:sz w:val="24"/>
          <w:szCs w:val="24"/>
          <w:rtl/>
        </w:rPr>
        <w:t>سكيكدة،باتنة</w:t>
      </w:r>
      <w:proofErr w:type="spellEnd"/>
      <w:proofErr w:type="gramEnd"/>
      <w:r>
        <w:rPr>
          <w:rFonts w:ascii="Simplified Arabic" w:hAnsi="Simplified Arabic" w:cs="Simplified Arabic"/>
          <w:sz w:val="24"/>
          <w:szCs w:val="24"/>
          <w:rtl/>
        </w:rPr>
        <w:t xml:space="preserve">، قالمة، سطيف، تبسة، بجاية، أم البواقي، برج بوعريريج، الطارف، خنشلة، ميلة، سوق أهراس، أما </w:t>
      </w:r>
      <w:r>
        <w:rPr>
          <w:rFonts w:ascii="Simplified Arabic" w:hAnsi="Simplified Arabic" w:cs="Simplified Arabic"/>
          <w:b/>
          <w:bCs/>
          <w:sz w:val="24"/>
          <w:szCs w:val="24"/>
          <w:rtl/>
        </w:rPr>
        <w:t>الناحية العسكرية السادسة</w:t>
      </w:r>
      <w:r>
        <w:rPr>
          <w:rFonts w:ascii="Simplified Arabic" w:hAnsi="Simplified Arabic" w:cs="Simplified Arabic"/>
          <w:sz w:val="24"/>
          <w:szCs w:val="24"/>
          <w:rtl/>
        </w:rPr>
        <w:t xml:space="preserve"> </w:t>
      </w:r>
      <w:r>
        <w:rPr>
          <w:rFonts w:ascii="Simplified Arabic" w:hAnsi="Simplified Arabic" w:cs="Simplified Arabic"/>
          <w:b/>
          <w:bCs/>
          <w:sz w:val="24"/>
          <w:szCs w:val="24"/>
          <w:rtl/>
        </w:rPr>
        <w:t>(تمنراست)</w:t>
      </w:r>
      <w:r>
        <w:rPr>
          <w:rFonts w:ascii="Simplified Arabic" w:hAnsi="Simplified Arabic" w:cs="Simplified Arabic"/>
          <w:sz w:val="24"/>
          <w:szCs w:val="24"/>
          <w:rtl/>
        </w:rPr>
        <w:t xml:space="preserve"> فتظم: تمنراست، إن صالح، إن قزام، برج باجي مختار.</w:t>
      </w:r>
    </w:p>
  </w:footnote>
  <w:footnote w:id="3">
    <w:p w14:paraId="2EFDEE89" w14:textId="77777777" w:rsidR="000D040D" w:rsidRDefault="000D040D" w:rsidP="000D040D">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المادة 07 من قانون القضاء العسكري.</w:t>
      </w:r>
    </w:p>
  </w:footnote>
  <w:footnote w:id="4">
    <w:p w14:paraId="5EB4CCBE" w14:textId="77777777" w:rsidR="000D040D" w:rsidRDefault="000D040D" w:rsidP="000D040D">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المادة 12 من قانون القضاء العسكري.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0D"/>
    <w:rsid w:val="000D040D"/>
    <w:rsid w:val="00235845"/>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EA27"/>
  <w15:chartTrackingRefBased/>
  <w15:docId w15:val="{E1350026-A592-4CA6-8E7D-14BB46E7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0D"/>
    <w:rPr>
      <w:kern w:val="0"/>
      <w14:ligatures w14:val="none"/>
    </w:rPr>
  </w:style>
  <w:style w:type="paragraph" w:styleId="Titre1">
    <w:name w:val="heading 1"/>
    <w:basedOn w:val="Normal"/>
    <w:next w:val="Normal"/>
    <w:link w:val="Titre1Car"/>
    <w:uiPriority w:val="9"/>
    <w:qFormat/>
    <w:rsid w:val="000D040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0D040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0D040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0D040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0D040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0D040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0D040D"/>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0D040D"/>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0D040D"/>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04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04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04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D040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D040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D04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D04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D04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D040D"/>
    <w:rPr>
      <w:rFonts w:eastAsiaTheme="majorEastAsia" w:cstheme="majorBidi"/>
      <w:color w:val="272727" w:themeColor="text1" w:themeTint="D8"/>
    </w:rPr>
  </w:style>
  <w:style w:type="paragraph" w:styleId="Titre">
    <w:name w:val="Title"/>
    <w:basedOn w:val="Normal"/>
    <w:next w:val="Normal"/>
    <w:link w:val="TitreCar"/>
    <w:uiPriority w:val="10"/>
    <w:qFormat/>
    <w:rsid w:val="000D04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0D04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040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0D04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D040D"/>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0D040D"/>
    <w:rPr>
      <w:i/>
      <w:iCs/>
      <w:color w:val="404040" w:themeColor="text1" w:themeTint="BF"/>
    </w:rPr>
  </w:style>
  <w:style w:type="paragraph" w:styleId="Paragraphedeliste">
    <w:name w:val="List Paragraph"/>
    <w:basedOn w:val="Normal"/>
    <w:uiPriority w:val="34"/>
    <w:qFormat/>
    <w:rsid w:val="000D040D"/>
    <w:pPr>
      <w:ind w:left="720"/>
      <w:contextualSpacing/>
    </w:pPr>
    <w:rPr>
      <w:kern w:val="2"/>
      <w14:ligatures w14:val="standardContextual"/>
    </w:rPr>
  </w:style>
  <w:style w:type="character" w:styleId="Accentuationintense">
    <w:name w:val="Intense Emphasis"/>
    <w:basedOn w:val="Policepardfaut"/>
    <w:uiPriority w:val="21"/>
    <w:qFormat/>
    <w:rsid w:val="000D040D"/>
    <w:rPr>
      <w:i/>
      <w:iCs/>
      <w:color w:val="0F4761" w:themeColor="accent1" w:themeShade="BF"/>
    </w:rPr>
  </w:style>
  <w:style w:type="paragraph" w:styleId="Citationintense">
    <w:name w:val="Intense Quote"/>
    <w:basedOn w:val="Normal"/>
    <w:next w:val="Normal"/>
    <w:link w:val="CitationintenseCar"/>
    <w:uiPriority w:val="30"/>
    <w:qFormat/>
    <w:rsid w:val="000D0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0D040D"/>
    <w:rPr>
      <w:i/>
      <w:iCs/>
      <w:color w:val="0F4761" w:themeColor="accent1" w:themeShade="BF"/>
    </w:rPr>
  </w:style>
  <w:style w:type="character" w:styleId="Rfrenceintense">
    <w:name w:val="Intense Reference"/>
    <w:basedOn w:val="Policepardfaut"/>
    <w:uiPriority w:val="32"/>
    <w:qFormat/>
    <w:rsid w:val="000D040D"/>
    <w:rPr>
      <w:b/>
      <w:bCs/>
      <w:smallCaps/>
      <w:color w:val="0F4761" w:themeColor="accent1" w:themeShade="BF"/>
      <w:spacing w:val="5"/>
    </w:rPr>
  </w:style>
  <w:style w:type="paragraph" w:styleId="Notedebasdepage">
    <w:name w:val="footnote text"/>
    <w:basedOn w:val="Normal"/>
    <w:link w:val="NotedebasdepageCar"/>
    <w:uiPriority w:val="99"/>
    <w:unhideWhenUsed/>
    <w:rsid w:val="000D040D"/>
    <w:pPr>
      <w:spacing w:after="0" w:line="240" w:lineRule="auto"/>
    </w:pPr>
    <w:rPr>
      <w:sz w:val="20"/>
      <w:szCs w:val="20"/>
    </w:rPr>
  </w:style>
  <w:style w:type="character" w:customStyle="1" w:styleId="NotedebasdepageCar">
    <w:name w:val="Note de bas de page Car"/>
    <w:basedOn w:val="Policepardfaut"/>
    <w:link w:val="Notedebasdepage"/>
    <w:uiPriority w:val="99"/>
    <w:rsid w:val="000D040D"/>
    <w:rPr>
      <w:kern w:val="0"/>
      <w:sz w:val="20"/>
      <w:szCs w:val="20"/>
      <w14:ligatures w14:val="none"/>
    </w:rPr>
  </w:style>
  <w:style w:type="character" w:styleId="Appelnotedebasdep">
    <w:name w:val="footnote reference"/>
    <w:basedOn w:val="Policepardfaut"/>
    <w:uiPriority w:val="99"/>
    <w:semiHidden/>
    <w:unhideWhenUsed/>
    <w:rsid w:val="000D0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2812</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2025-02-07T14:08:00Z</dcterms:created>
  <dcterms:modified xsi:type="dcterms:W3CDTF">2025-02-07T14:08:00Z</dcterms:modified>
</cp:coreProperties>
</file>