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D76F" w14:textId="77777777" w:rsidR="00504723" w:rsidRPr="005F5099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32"/>
          <w:szCs w:val="32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الثاني عشر</w:t>
      </w:r>
      <w:r w:rsidRPr="005F5099">
        <w:rPr>
          <w:rStyle w:val="Accentuation"/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مجلس الدولة</w:t>
      </w:r>
    </w:p>
    <w:p w14:paraId="5299B210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6D50E9A6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 w:rsidRPr="00F2340C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F2340C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التشكيلة البشرية</w:t>
      </w:r>
      <w:r w:rsidRPr="00F2340C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لمجلس الدولة</w:t>
      </w:r>
    </w:p>
    <w:p w14:paraId="54207D57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نصت عليهم المادة 20 من القانون العضوي 98/01 المعدل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المتمم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هم: </w:t>
      </w:r>
    </w:p>
    <w:p w14:paraId="7D754C24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131814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1/ رئيس مجلس الدولة: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يعين بموجب مرسوم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رئاسي ،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يتولى المهام المنصوص عليها في المادة 22 من القانون العضوي 98/01 المعدل و المتمم، نذكر منها: تمثيل مجلس الدولة رسميا، رئاسة أي غرفة من غرف مجلس الدولة عند الاقتضاء، رئاسة الغرف مجتمعة، السهر على تطبيق أحكام النظام الداخلي لمجلس الدولة.</w:t>
      </w:r>
    </w:p>
    <w:p w14:paraId="17F7039B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247B96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2/ نائب رئيس مجلس الدولة: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يساعد رئيس مجلس الدولة في مهامه و يتولى </w:t>
      </w:r>
      <w:proofErr w:type="spell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استخلافه</w:t>
      </w:r>
      <w:proofErr w:type="spell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حالة غيابه أو حدوث مانع له، و في حالة غياب الرئيس و نائبه معا يقوم مقام رئيس مجلس الدولة عميد رؤساء الغرف بمجلس الدولة (المادة 23 </w:t>
      </w:r>
      <w:proofErr w:type="spellStart"/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ق.عضوي</w:t>
      </w:r>
      <w:proofErr w:type="spellEnd"/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98/01 المعدل و المتمم)</w:t>
      </w:r>
    </w:p>
    <w:p w14:paraId="7A5214F7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247B96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3/ رؤساء الغرف: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خمسة رؤساء غرف مكلفون بتنسيق الأعمال داخل تشكيلاتهم و يحددون القضايا الواجب دراستها على مستوى الغرفة أو </w:t>
      </w:r>
      <w:proofErr w:type="spellStart"/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الأقسام،ويترأسون</w:t>
      </w:r>
      <w:proofErr w:type="spellEnd"/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الجلسات و يسيرون مداولات الغرف، يمكنهم رئاسة جلسات الأقسام ( المادة 27 ق. عضوي 98/01 المعدل و المتمم)</w:t>
      </w:r>
    </w:p>
    <w:p w14:paraId="39FB48C2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247B96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4/ رؤساء الأقسام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يترأسون الجلسات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يقومون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بإعداد التقارير عن نشاط القسم و تسيير المناقشات و المداولات (المادة 28 ق. عضوي 98/01 المعدل و المتمم)</w:t>
      </w:r>
    </w:p>
    <w:p w14:paraId="78230C38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563744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5/ مستشاري الدولة: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يشكلون الفئة الأساسية لمجلس الدولة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هم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صنفان:</w:t>
      </w:r>
    </w:p>
    <w:p w14:paraId="7398C710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563744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أ/ مستشار دولة في مهمة عادية: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تعيينهم بموجب مرسوم رئاسي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تتمثل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مهامهم في المشاركة في المداولات و كذا التقرير في التشكيلات القضائية و الاستشارية لمجلس الدولة، كما يمكنهم ممارسة مهام محافظ الدولة المساعد.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( المادة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29 ق. عضوي 98/01 المعدل و المتمم)</w:t>
      </w:r>
    </w:p>
    <w:p w14:paraId="4719A16E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8565C0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ب/ مستشاري الدولة في مهمة غير عادية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حسب المادة 21 ق عضوي 98/01 عند ممارسة مجلس الدولة لاختصاصاته الاستشارية يمكن أن تعزز تشكيلته بمستشاري دولة من ذوي الاختصاص في مهمة غير عادية، و يعتبر مستشارو الدولة في مهمة غير عادية مقررين في التشكيلات ذات الطابع الاستشاري و يشاركون في المداولات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( المادة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29 فقرة 03 قانون عضوي 98/01 المعدل و المتمم)</w:t>
      </w:r>
    </w:p>
    <w:p w14:paraId="3D52D31A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8565C0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6/ محافظ الدولة </w:t>
      </w:r>
      <w:proofErr w:type="gramStart"/>
      <w:r w:rsidRPr="008565C0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المحافظون</w:t>
      </w:r>
      <w:proofErr w:type="gramEnd"/>
      <w:r w:rsidRPr="008565C0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المساعدون: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هم قضاة معينون بموجب مرسوم رئاسي يمارسون مهام النيابة العامة، سواء عند قيام مجلس الدولة بوظيفة الاستشارة أو عند فصله في المنازعات الإدارية و يتولى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محافظ الدولة أو أحد مساعديه تقديم مذكراتهم كتابيا و شرح ملاحظاتهم شفويا، و قد نصت على صلاحيات محافظ الدولة المادة 26 مكرر ق. عضوي 98/01 المعدل و المتمم.</w:t>
      </w:r>
    </w:p>
    <w:p w14:paraId="2D7953A1" w14:textId="77777777" w:rsidR="00504723" w:rsidRPr="004E580F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التنظيم 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الهيكلي</w:t>
      </w:r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لمجلس الدولة</w:t>
      </w:r>
    </w:p>
    <w:p w14:paraId="228A1065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تم تنظيم مجلس الدولة على النحو الآتي:</w:t>
      </w:r>
    </w:p>
    <w:p w14:paraId="25A3C26B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proofErr w:type="gramStart"/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الهياكل</w:t>
      </w:r>
      <w:proofErr w:type="gramEnd"/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القضائية </w:t>
      </w:r>
    </w:p>
    <w:p w14:paraId="1666408A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أ/ </w:t>
      </w:r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الغرف </w:t>
      </w:r>
      <w:proofErr w:type="gramStart"/>
      <w:r w:rsidRPr="004E580F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الأقسام</w:t>
      </w:r>
      <w:proofErr w:type="gramEnd"/>
    </w:p>
    <w:p w14:paraId="6BC6B46A" w14:textId="77777777" w:rsidR="00504723" w:rsidRPr="0021011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210113"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المادة 14 من </w:t>
      </w:r>
      <w:proofErr w:type="spellStart"/>
      <w:r w:rsidRPr="00210113"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االقانون</w:t>
      </w:r>
      <w:proofErr w:type="spellEnd"/>
      <w:r w:rsidRPr="00210113"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العضوي 98/01 ينظم مجلس الدولة لممارس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ة اختصاصاته ذات الطابع القضائي في شكل غرف ويمكن تقسيم هذه الغرف إلى أقسام.</w:t>
      </w:r>
    </w:p>
    <w:p w14:paraId="41042EE2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ب/</w:t>
      </w:r>
      <w:r w:rsidRPr="00C641C3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الغرف مجتمعة</w:t>
      </w: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58876EFD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وفقا للمادتين 31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32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القانون العضوي 98/01 يعقد مجلس الدولة في بعض الحالات جلساته بكل الغرف مجتمعة لكن في حالات معينة تتمثل خاصة عندما يكون القرار المراد اتخاذه يمثل تراجعا عن اجتهاد قضائي سابق و تتألف تشكيلة الغرف من: رئيس مجلس الدولة، نائب الرئيس، رؤساء الغرف و رؤساء الأقسام.</w:t>
      </w:r>
    </w:p>
    <w:p w14:paraId="5EB9C669" w14:textId="77777777" w:rsidR="00504723" w:rsidRPr="00C641C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>و يحضر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محافظ الدولة جلسات تشكيلة مجلس الدولة كغرف مجتمعة و يقدم مذكراته، و لا يصح الفصل إلا بحضور نصف عدد أعضاء تشكيلة الغرف مجتمعة على الأقل.</w:t>
      </w:r>
      <w:r>
        <w:rPr>
          <w:rStyle w:val="Appelnotedebasdep"/>
          <w:rFonts w:ascii="Simplified Arabic" w:hAnsi="Simplified Arabic" w:cs="Simplified Arabic"/>
          <w:rtl/>
          <w:lang w:bidi="ar-DZ"/>
        </w:rPr>
        <w:footnoteReference w:id="1"/>
      </w:r>
    </w:p>
    <w:p w14:paraId="17FD9692" w14:textId="77777777" w:rsidR="00504723" w:rsidRPr="00964F3E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</w:rPr>
      </w:pPr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3/الهياكل </w:t>
      </w:r>
      <w:proofErr w:type="gramStart"/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الغير قضائية</w:t>
      </w:r>
      <w:proofErr w:type="gramEnd"/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لمجلس الدولة</w:t>
      </w:r>
    </w:p>
    <w:p w14:paraId="76860C25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و تتمثل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في: </w:t>
      </w:r>
    </w:p>
    <w:p w14:paraId="0F8CCE9F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</w:rPr>
      </w:pPr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أ/ مكتب مجلس الدولة</w:t>
      </w:r>
    </w:p>
    <w:p w14:paraId="27DF61E3" w14:textId="77777777" w:rsidR="00504723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حددت المادة 24 من القانون العضوي 98/01 تشكيلته وتتمثل في رئيس المجلس وينوبه محافظ الدولة، نائب رئيس المجلس، رؤساء الغرف، عميد رؤساء الأقسام وعميد المستشارين. ووفقا للمادة 25 من نفس القانون يقوم المكتب </w:t>
      </w:r>
      <w:proofErr w:type="spell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باعداد</w:t>
      </w:r>
      <w:proofErr w:type="spell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مشروع النظام الداخلي لمجلس الدولة و المصادقة عليه وكذا اثارة حالات تعارض الاجتهاد القضائي بين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الغرف ،اضافة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لدراسة المسائل المعروضة عليه رئيس مجلس الدولة.</w:t>
      </w:r>
    </w:p>
    <w:p w14:paraId="3FBAF6D0" w14:textId="77777777" w:rsidR="00504723" w:rsidRPr="00964F3E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</w:rPr>
      </w:pPr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ب/ ديوان ريس مجلس الدولة:</w:t>
      </w:r>
    </w:p>
    <w:p w14:paraId="029B6FFE" w14:textId="77777777" w:rsidR="00504723" w:rsidRPr="00964F3E" w:rsidRDefault="00504723" w:rsidP="00504723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حسب المادة 25 مكرر من القانون العضوي 98/01 يحدث لدى رئيس مجلس الدولة ديوان يديره قاض يتم تعيينه من قبل وزير العدل </w:t>
      </w:r>
      <w:proofErr w:type="spell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بناءا</w:t>
      </w:r>
      <w:proofErr w:type="spell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على اقتراح من رئيس مجلس الدولة، ويتولى اعداد الدراسات المتعلقة بالقضايا المعروضة على مجلس الدولة وباختصاصاته وبتطوير القضاء الإداري.</w:t>
      </w:r>
    </w:p>
    <w:p w14:paraId="2024225E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ج/ أمانة الضبط:</w:t>
      </w:r>
    </w:p>
    <w:p w14:paraId="25472161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وفقا للمادة 16 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القانون العضوي 98/01 لمجلس الدولة أمانة تتشكل من أمانة ضبط مركزية وأمانات ضبط الغرف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و الأقسام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4D85DAE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ج1</w:t>
      </w:r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/ أمانة الضبط المركزية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: يشرف عليها قاض يعين بقرار من وزير العدل (المادة 16 مكرر)</w:t>
      </w:r>
    </w:p>
    <w:p w14:paraId="6B8EB513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ج2</w:t>
      </w:r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أمانة ضبط الغرف </w:t>
      </w:r>
      <w:proofErr w:type="gramStart"/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و الأقسام</w:t>
      </w:r>
      <w:proofErr w:type="gramEnd"/>
      <w:r w:rsidRPr="00964F3E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يشرف عليها مستخدم من سلك أمناء الضبط يعين بأمر من رئيس مجلس الدولة (المادة 16 مكرر1)</w:t>
      </w:r>
    </w:p>
    <w:p w14:paraId="5CC58413" w14:textId="77777777" w:rsidR="00504723" w:rsidRPr="00687345" w:rsidRDefault="00504723" w:rsidP="00504723">
      <w:pPr>
        <w:bidi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</w:rPr>
      </w:pPr>
      <w:r w:rsidRPr="00687345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4/ الهياكل الإدارية:</w:t>
      </w:r>
    </w:p>
    <w:p w14:paraId="2068B594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نصت عليها </w:t>
      </w:r>
      <w:r w:rsidRPr="00687345">
        <w:rPr>
          <w:rStyle w:val="Accentuation"/>
          <w:rFonts w:ascii="Simplified Arabic" w:hAnsi="Simplified Arabic" w:cs="Simplified Arabic" w:hint="cs"/>
          <w:b/>
          <w:bCs/>
          <w:sz w:val="28"/>
          <w:szCs w:val="28"/>
          <w:rtl/>
        </w:rPr>
        <w:t>المادة 17 من القانون العضوي 98/01</w:t>
      </w: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 وتتمثل في:</w:t>
      </w:r>
    </w:p>
    <w:p w14:paraId="6C0ABF16" w14:textId="77777777" w:rsidR="00504723" w:rsidRDefault="00504723" w:rsidP="00504723">
      <w:pPr>
        <w:bidi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أمانة عامة، قسم الإدارة </w:t>
      </w:r>
      <w:proofErr w:type="gramStart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>و الوسائل</w:t>
      </w:r>
      <w:proofErr w:type="gramEnd"/>
      <w:r>
        <w:rPr>
          <w:rStyle w:val="Accentuation"/>
          <w:rFonts w:ascii="Simplified Arabic" w:hAnsi="Simplified Arabic" w:cs="Simplified Arabic" w:hint="cs"/>
          <w:sz w:val="28"/>
          <w:szCs w:val="28"/>
          <w:rtl/>
        </w:rPr>
        <w:t xml:space="preserve">، قسم الوثائق والدراسات القانونية و القضائية، قسم الاحصائيات و التحاليل. </w:t>
      </w:r>
    </w:p>
    <w:p w14:paraId="7351A467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</w:t>
      </w:r>
      <w:r w:rsidRPr="00E909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اختصاصات مجلس الدولة</w:t>
      </w:r>
    </w:p>
    <w:p w14:paraId="1E1CF589" w14:textId="77777777" w:rsidR="00504723" w:rsidRDefault="00504723" w:rsidP="00504723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بموجب المادة 08 من القانون 22/13 المتضمن تعديل قانون الإجراءات المدنية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الإدارية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 تعديل المواد 901 و 902 و 903 من قانون الإجراءات المدنية و الإدارية و بموجب هذه المواد تم تعديل الاختصاص النوعي لمجلس الدولة كما يلي:</w:t>
      </w:r>
    </w:p>
    <w:p w14:paraId="580454D2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1/</w:t>
      </w:r>
      <w:r w:rsidRPr="008A2E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الطعن بالنقض</w:t>
      </w:r>
    </w:p>
    <w:p w14:paraId="3936E424" w14:textId="77777777" w:rsidR="00504723" w:rsidRDefault="00504723" w:rsidP="0050472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1D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نصت 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ادة 901 قانون الإجراءات المدنية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الإدارية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أن مجلس الدولة يختص بالفصل في الطعون بالنقض في الأحكام و القرارات الصادرة نهائيا عن الجهات القضائية الإدارية</w:t>
      </w:r>
      <w:r w:rsidRPr="00687345">
        <w:rPr>
          <w:rFonts w:cs="الشهيد محمد الدره" w:hint="cs"/>
          <w:sz w:val="30"/>
          <w:szCs w:val="30"/>
          <w:rtl/>
        </w:rPr>
        <w:t xml:space="preserve"> </w:t>
      </w:r>
      <w:r w:rsidRPr="005D68EF">
        <w:rPr>
          <w:rFonts w:cs="الشهيد محمد الدره" w:hint="cs"/>
          <w:sz w:val="30"/>
          <w:szCs w:val="30"/>
          <w:rtl/>
        </w:rPr>
        <w:t xml:space="preserve">أي كلا من المحاكم الإدارية والمحاكم الإدارية للاستئناف، وكذا الجهات القضائية الإدارية المتخصصة، </w:t>
      </w:r>
      <w:r w:rsidRPr="005D68EF">
        <w:rPr>
          <w:rFonts w:cs="الشهيد محمد الدره" w:hint="cs"/>
          <w:sz w:val="30"/>
          <w:szCs w:val="30"/>
          <w:rtl/>
        </w:rPr>
        <w:lastRenderedPageBreak/>
        <w:t>بالإضافة إلى اختصاصه أيضا في الطعون بالنقض المخولة له بنصوص خاصة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هو 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ماجاء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نص المادة 09 من القانون العضوي لمجلس الدولة بعد تعديله بموجب القانون العضوي 22/11</w:t>
      </w:r>
      <w:r>
        <w:rPr>
          <w:rStyle w:val="Appelnotedebasdep"/>
          <w:rFonts w:ascii="Simplified Arabic" w:hAnsi="Simplified Arabic" w:cs="Simplified Arabic"/>
          <w:rtl/>
          <w:lang w:bidi="ar-DZ"/>
        </w:rPr>
        <w:footnoteReference w:id="2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9DB097B" w14:textId="77777777" w:rsidR="00504723" w:rsidRPr="007E05A3" w:rsidRDefault="00504723" w:rsidP="00504723">
      <w:pPr>
        <w:pStyle w:val="Paragraphedeliste"/>
        <w:bidi/>
        <w:ind w:left="0"/>
        <w:jc w:val="both"/>
        <w:rPr>
          <w:rFonts w:cs="الشهيد محمد الدره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وبالرجوع إلى النصوص الخاصة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اجتهاد مجلس الدولة، فإن الطعن بالنقض أمام مجلس الدولة مفتوح ضد القرارات التالية:</w:t>
      </w:r>
    </w:p>
    <w:p w14:paraId="33076357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7C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1/ قرارات مجلس المحاسبة: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3D7AC82A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نصت المادة 110 من القانون 95/20 المتعلق بمجلس المحاسبة المعدل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المتمم</w:t>
      </w:r>
      <w:proofErr w:type="gramEnd"/>
      <w:r>
        <w:rPr>
          <w:rStyle w:val="Appelnotedebasdep"/>
          <w:rFonts w:ascii="Simplified Arabic" w:hAnsi="Simplified Arabic" w:cs="Simplified Arabic"/>
          <w:rtl/>
        </w:rPr>
        <w:footnoteReference w:id="3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على: " </w:t>
      </w:r>
      <w:r w:rsidRPr="00622D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 قرارات مجلس المحاسبة الصادرة عن تشكيلة كل الغرف مجتمعة قابلة للطعن بالنقض طبقا لقانون الإجراءات المدنية و الإدارية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."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القرارات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المعنية بالطعن بالنقض هي القرارات الصادرة عن المجلس في الطعون بالاستئناف المقدمة ضد قرارات إحدى غرفه و المقصود بالقرارات في هذا المجال هي القرارات المتضمنة فرض عقوبات مالية على طائفة الموظفين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حال إخلالهم بقواعد تسيير أموال الدولة و الجماعات المحلية و المرافق العمومية.</w:t>
      </w:r>
    </w:p>
    <w:p w14:paraId="2A5DB8A5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622D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قرارات المجلس الأعلى للقضاء: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68814D0F" w14:textId="77777777" w:rsidR="00504723" w:rsidRDefault="00504723" w:rsidP="0050472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556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3/ قرارات اللجان الوطنية للطعن في العقوبات التأديبية: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43761E5A" w14:textId="77777777" w:rsidR="00504723" w:rsidRDefault="00504723" w:rsidP="0050472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71C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ثانيا: </w:t>
      </w:r>
      <w:r w:rsidRPr="009F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الطعن بالاستئناف:</w:t>
      </w:r>
    </w:p>
    <w:p w14:paraId="25773DBC" w14:textId="77777777" w:rsidR="00504723" w:rsidRDefault="00504723" w:rsidP="0050472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82DAE">
        <w:rPr>
          <w:rFonts w:ascii="Simplified Arabic" w:hAnsi="Simplified Arabic" w:cs="Simplified Arabic" w:hint="cs"/>
          <w:sz w:val="28"/>
          <w:szCs w:val="28"/>
          <w:rtl/>
        </w:rPr>
        <w:t>حسب المادة 902 ق إ م إ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المعدلة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المتممة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بموجب القانون 22/13 و كذلك 10 من القانون العضوي لمجلس الدولة المعدلة بالقانون 22/10 نجد أن مجلس الدولة يختص بالفصل في استئناف القرارات الصادرة عن المحكمة الإدارية للاستئناف للجزائر العاصمة في دعاوى الالغاء، تفسير و تقدير مشروعية القرارات الإدارية الصادرة عن السلطات الإدارية المركزية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المنظمات المهنية الوطنية و الهيئات العمومية الوطنية.</w:t>
      </w:r>
    </w:p>
    <w:p w14:paraId="6A88235F" w14:textId="77777777" w:rsidR="00504723" w:rsidRDefault="00504723" w:rsidP="0050472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ثالثا: </w:t>
      </w:r>
      <w:r w:rsidRPr="00C82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الفصل في القضايا المخولة له بموجب نصوص خاصة:</w:t>
      </w:r>
    </w:p>
    <w:p w14:paraId="03C1D7B2" w14:textId="77777777" w:rsidR="00504723" w:rsidRDefault="00504723" w:rsidP="0050472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أنه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بموجب المادة 903 ق إ م إ المعدلة بموجب القانون 22/13 و كذا بموجب المادة 11 من القانون العضوي لمجلس الدولة المعدلة بالقانون 22/10، فإن مجلس الدولة يختص بالفصل في القضايا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المخولة له بموجب نصوص خاصة، أي أنه متى وجد نص خاص يسند الاختصاص لمجلس الدولة للفصل في النزاع، فيكون مجلس الدولة هو المختص في هذه الحالة وهو ما يفهم منه أ مجلس الدولة في هذه الحالة سيفصل في الموضوع تطبيقا لنص خاص.</w:t>
      </w:r>
    </w:p>
    <w:p w14:paraId="3E7C7585" w14:textId="77777777" w:rsidR="00504723" w:rsidRPr="005026A4" w:rsidRDefault="00504723" w:rsidP="00504723">
      <w:pPr>
        <w:bidi/>
      </w:pPr>
    </w:p>
    <w:p w14:paraId="5161AB85" w14:textId="77777777" w:rsidR="00235845" w:rsidRPr="00504723" w:rsidRDefault="00235845" w:rsidP="00504723">
      <w:pPr>
        <w:bidi/>
        <w:rPr>
          <w:rtl/>
        </w:rPr>
      </w:pPr>
    </w:p>
    <w:p w14:paraId="024113E1" w14:textId="77777777" w:rsidR="00504723" w:rsidRDefault="00504723"/>
    <w:sectPr w:rsidR="0050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8B5D" w14:textId="77777777" w:rsidR="00504723" w:rsidRDefault="00504723" w:rsidP="00504723">
      <w:pPr>
        <w:spacing w:after="0" w:line="240" w:lineRule="auto"/>
      </w:pPr>
      <w:r>
        <w:separator/>
      </w:r>
    </w:p>
  </w:endnote>
  <w:endnote w:type="continuationSeparator" w:id="0">
    <w:p w14:paraId="61D65F5A" w14:textId="77777777" w:rsidR="00504723" w:rsidRDefault="00504723" w:rsidP="0050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0C7E" w14:textId="77777777" w:rsidR="00504723" w:rsidRDefault="00504723" w:rsidP="00504723">
      <w:pPr>
        <w:spacing w:after="0" w:line="240" w:lineRule="auto"/>
      </w:pPr>
      <w:r>
        <w:separator/>
      </w:r>
    </w:p>
  </w:footnote>
  <w:footnote w:type="continuationSeparator" w:id="0">
    <w:p w14:paraId="36E0D18F" w14:textId="77777777" w:rsidR="00504723" w:rsidRDefault="00504723" w:rsidP="00504723">
      <w:pPr>
        <w:spacing w:after="0" w:line="240" w:lineRule="auto"/>
      </w:pPr>
      <w:r>
        <w:continuationSeparator/>
      </w:r>
    </w:p>
  </w:footnote>
  <w:footnote w:id="1">
    <w:p w14:paraId="47B54F73" w14:textId="77777777" w:rsidR="00504723" w:rsidRPr="00426C97" w:rsidRDefault="00504723" w:rsidP="00504723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26C97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426C97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راجع المادتين: 31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 32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ق. عضوي 98/01 المعدل و المتمم.</w:t>
      </w:r>
    </w:p>
  </w:footnote>
  <w:footnote w:id="2">
    <w:p w14:paraId="11B5CA58" w14:textId="77777777" w:rsidR="00504723" w:rsidRPr="003A1D06" w:rsidRDefault="00504723" w:rsidP="00504723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1D06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A1D06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قانون عضوي رقم 22/11 مؤرخ في 09 جوان 2022، يعدل ويتمم القانون العضوي 98/01 المؤرخ في 30 مايو 1998، الجريدة الرسمية، العدد 41، مؤرخة في 16 جوان 2022.</w:t>
      </w:r>
    </w:p>
  </w:footnote>
  <w:footnote w:id="3">
    <w:p w14:paraId="0620441A" w14:textId="77777777" w:rsidR="00504723" w:rsidRPr="00385DC9" w:rsidRDefault="00504723" w:rsidP="00504723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85DC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85DC9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قانون رقم 95/20 المؤرخ في 04 فبراير 1995 المتعلق بمجلس المحاسبة المعدل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 المتمم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23"/>
    <w:rsid w:val="00235845"/>
    <w:rsid w:val="00504723"/>
    <w:rsid w:val="008C7DC8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2F22"/>
  <w15:chartTrackingRefBased/>
  <w15:docId w15:val="{306FA630-DAE4-4D97-9080-FB11930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23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4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4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4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47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47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47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47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47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0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0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472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047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4723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047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47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4723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5047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04723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504723"/>
    <w:rPr>
      <w:vertAlign w:val="superscript"/>
    </w:rPr>
  </w:style>
  <w:style w:type="character" w:styleId="Accentuation">
    <w:name w:val="Emphasis"/>
    <w:basedOn w:val="Policepardfaut"/>
    <w:qFormat/>
    <w:rsid w:val="005047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2025-02-07T14:12:00Z</dcterms:created>
  <dcterms:modified xsi:type="dcterms:W3CDTF">2025-02-07T14:13:00Z</dcterms:modified>
</cp:coreProperties>
</file>