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CB4" w:rsidRPr="001948F4" w:rsidRDefault="00FE4CB4" w:rsidP="00FE4CB4">
      <w:pPr>
        <w:bidi/>
        <w:ind w:right="142"/>
        <w:rPr>
          <w:rFonts w:cs="Traditional Arabic"/>
          <w:b/>
          <w:bCs/>
          <w:sz w:val="40"/>
          <w:szCs w:val="40"/>
          <w:u w:val="single"/>
          <w:rtl/>
        </w:rPr>
      </w:pPr>
      <w:r>
        <w:rPr>
          <w:rFonts w:cs="Traditional Arabic" w:hint="cs"/>
          <w:b/>
          <w:bCs/>
          <w:sz w:val="40"/>
          <w:szCs w:val="40"/>
          <w:u w:val="single"/>
          <w:rtl/>
        </w:rPr>
        <w:t>-</w:t>
      </w:r>
      <w:proofErr w:type="gramStart"/>
      <w:r>
        <w:rPr>
          <w:rFonts w:cs="Traditional Arabic" w:hint="cs"/>
          <w:b/>
          <w:bCs/>
          <w:sz w:val="40"/>
          <w:szCs w:val="40"/>
          <w:u w:val="single"/>
          <w:rtl/>
        </w:rPr>
        <w:t>الدّرس</w:t>
      </w:r>
      <w:proofErr w:type="gramEnd"/>
      <w:r>
        <w:rPr>
          <w:rFonts w:cs="Traditional Arabic" w:hint="cs"/>
          <w:b/>
          <w:bCs/>
          <w:sz w:val="40"/>
          <w:szCs w:val="40"/>
          <w:u w:val="single"/>
          <w:rtl/>
        </w:rPr>
        <w:t xml:space="preserve"> (04):الدرس الصوتي عند القدماء(3)</w:t>
      </w:r>
    </w:p>
    <w:p w:rsidR="00FE4CB4" w:rsidRPr="00D94965" w:rsidRDefault="00FE4CB4" w:rsidP="00FE4CB4">
      <w:pPr>
        <w:bidi/>
        <w:ind w:right="142"/>
        <w:rPr>
          <w:rFonts w:cs="Traditional Arabic"/>
          <w:b/>
          <w:bCs/>
          <w:sz w:val="32"/>
          <w:szCs w:val="32"/>
          <w:u w:val="single"/>
          <w:rtl/>
        </w:rPr>
      </w:pPr>
      <w:r w:rsidRPr="00D94965">
        <w:rPr>
          <w:rFonts w:cs="Traditional Arabic" w:hint="cs"/>
          <w:b/>
          <w:bCs/>
          <w:sz w:val="32"/>
          <w:szCs w:val="32"/>
          <w:u w:val="single"/>
          <w:rtl/>
        </w:rPr>
        <w:t>1-2-الدرس الصوتي عند البلاغيين:</w:t>
      </w:r>
    </w:p>
    <w:p w:rsidR="00FE4CB4" w:rsidRPr="00D94965" w:rsidRDefault="00FE4CB4" w:rsidP="00FE4CB4">
      <w:pPr>
        <w:bidi/>
        <w:ind w:right="142" w:firstLine="634"/>
        <w:rPr>
          <w:rFonts w:cs="Traditional Arabic"/>
          <w:sz w:val="32"/>
          <w:szCs w:val="32"/>
          <w:rtl/>
        </w:rPr>
      </w:pPr>
      <w:r w:rsidRPr="00D94965">
        <w:rPr>
          <w:rFonts w:cs="Traditional Arabic" w:hint="cs"/>
          <w:sz w:val="32"/>
          <w:szCs w:val="32"/>
          <w:rtl/>
        </w:rPr>
        <w:t xml:space="preserve">تطرّق البلاغيون للمباحث الصوتية نظرا لحاجتهم إلى مخارج الأصوات وصفاتها في تفسير العيوب اللغوية المرتبطة بفصاحة اللفظ المفرد ، حيث كانت لديهم شروط في هذا الباب ، أبرزها صوتية مرتبطة بتجاور الحروف من حيث أنها تتنافر فللن يكون هناك انسجام أو تتآلف فيحدث نوع من الانسجام، وعليه فالملاحظ أن معاييرهم لفصاحة اللفظ المفرد مبنية على التذوّق النطقي المؤدي إلى حسن التذوّق السمعي ، والمبدآن في الحكم هو تباعد المخارج يؤدي إلى حسن السبك ، وتقارب المخارج في الكلمة يؤدي إلى </w:t>
      </w:r>
      <w:proofErr w:type="spellStart"/>
      <w:r w:rsidRPr="00D94965">
        <w:rPr>
          <w:rFonts w:cs="Traditional Arabic" w:hint="cs"/>
          <w:sz w:val="32"/>
          <w:szCs w:val="32"/>
          <w:rtl/>
        </w:rPr>
        <w:t>كزازة</w:t>
      </w:r>
      <w:proofErr w:type="spellEnd"/>
      <w:r w:rsidRPr="00D94965">
        <w:rPr>
          <w:rFonts w:cs="Traditional Arabic" w:hint="cs"/>
          <w:sz w:val="32"/>
          <w:szCs w:val="32"/>
          <w:rtl/>
        </w:rPr>
        <w:t xml:space="preserve"> وصعوبة في النطق واستكراه.</w:t>
      </w:r>
    </w:p>
    <w:p w:rsidR="00FE4CB4" w:rsidRPr="00D94965" w:rsidRDefault="00FE4CB4" w:rsidP="00FE4CB4">
      <w:pPr>
        <w:bidi/>
        <w:ind w:right="142" w:firstLine="634"/>
        <w:rPr>
          <w:rFonts w:cs="Traditional Arabic"/>
          <w:sz w:val="32"/>
          <w:szCs w:val="32"/>
          <w:rtl/>
        </w:rPr>
      </w:pPr>
      <w:proofErr w:type="gramStart"/>
      <w:r w:rsidRPr="00D94965">
        <w:rPr>
          <w:rFonts w:cs="Traditional Arabic" w:hint="cs"/>
          <w:sz w:val="32"/>
          <w:szCs w:val="32"/>
          <w:rtl/>
        </w:rPr>
        <w:t>ولقد</w:t>
      </w:r>
      <w:proofErr w:type="gramEnd"/>
      <w:r w:rsidRPr="00D94965">
        <w:rPr>
          <w:rFonts w:cs="Traditional Arabic" w:hint="cs"/>
          <w:sz w:val="32"/>
          <w:szCs w:val="32"/>
          <w:rtl/>
        </w:rPr>
        <w:t xml:space="preserve"> دارت الدراسات حول الإعجاز البلاغي للقرآن الكريم، ومن أبرز العلماء نجد:</w:t>
      </w:r>
    </w:p>
    <w:p w:rsidR="00FE4CB4" w:rsidRPr="00D94965" w:rsidRDefault="00FE4CB4" w:rsidP="00FE4CB4">
      <w:pPr>
        <w:bidi/>
        <w:ind w:right="142" w:firstLine="634"/>
        <w:rPr>
          <w:rFonts w:ascii="Times New Roman" w:hAnsi="Times New Roman" w:cs="Traditional Arabic"/>
          <w:sz w:val="32"/>
          <w:szCs w:val="32"/>
          <w:rtl/>
        </w:rPr>
      </w:pPr>
      <w:r w:rsidRPr="00D94965">
        <w:rPr>
          <w:rFonts w:cs="Traditional Arabic" w:hint="cs"/>
          <w:sz w:val="32"/>
          <w:szCs w:val="32"/>
          <w:rtl/>
        </w:rPr>
        <w:t>الرماني</w:t>
      </w:r>
      <w:r w:rsidRPr="00D94965">
        <w:rPr>
          <w:rFonts w:ascii="Times New Roman" w:hAnsi="Times New Roman" w:cs="Traditional Arabic" w:hint="cs"/>
          <w:sz w:val="32"/>
          <w:szCs w:val="32"/>
          <w:rtl/>
        </w:rPr>
        <w:t>(384هـ)</w:t>
      </w:r>
      <w:r w:rsidRPr="00D94965">
        <w:rPr>
          <w:rFonts w:cs="Traditional Arabic" w:hint="cs"/>
          <w:sz w:val="32"/>
          <w:szCs w:val="32"/>
          <w:rtl/>
        </w:rPr>
        <w:t xml:space="preserve"> في رسالة عنوانها النكت في إعجاز القرآن ضمَّنها أحكاماً صوتية في تنافر الحروف وتلاؤمها، </w:t>
      </w:r>
      <w:proofErr w:type="spellStart"/>
      <w:r w:rsidRPr="00D94965">
        <w:rPr>
          <w:rFonts w:ascii="Times New Roman" w:hAnsi="Times New Roman" w:cs="Traditional Arabic" w:hint="cs"/>
          <w:sz w:val="32"/>
          <w:szCs w:val="32"/>
          <w:rtl/>
        </w:rPr>
        <w:t>والخفاجي</w:t>
      </w:r>
      <w:proofErr w:type="spellEnd"/>
      <w:r w:rsidRPr="00D94965">
        <w:rPr>
          <w:rFonts w:ascii="Times New Roman" w:hAnsi="Times New Roman" w:cs="Traditional Arabic" w:hint="cs"/>
          <w:sz w:val="32"/>
          <w:szCs w:val="32"/>
          <w:rtl/>
        </w:rPr>
        <w:t xml:space="preserve"> في سرّ الفصاحة حيث عقد (466هـ) فصلاً مفرداً للأصوات تكلم فيه على ماهيتها وإدراكها، وفصلاً مفرداً للحروف تكلم فيه على حدِّها واختلافها ومخارجها وصفاتها، ثم تناول موضوع تأليف الحروف وتنافرها</w:t>
      </w:r>
      <w:r w:rsidRPr="00D94965">
        <w:rPr>
          <w:rFonts w:ascii="Times New Roman" w:hAnsi="Times New Roman" w:cs="Traditional Arabic" w:hint="cs"/>
          <w:sz w:val="32"/>
          <w:szCs w:val="32"/>
          <w:vertAlign w:val="superscript"/>
          <w:rtl/>
        </w:rPr>
        <w:t>(</w:t>
      </w:r>
      <w:r w:rsidRPr="00D94965">
        <w:rPr>
          <w:rStyle w:val="Appelnotedebasdep"/>
          <w:rFonts w:ascii="Times New Roman" w:hAnsi="Times New Roman" w:cs="Traditional Arabic"/>
          <w:sz w:val="32"/>
          <w:szCs w:val="32"/>
          <w:rtl/>
        </w:rPr>
        <w:footnoteReference w:id="2"/>
      </w:r>
      <w:r w:rsidRPr="00D94965">
        <w:rPr>
          <w:rFonts w:ascii="Times New Roman" w:hAnsi="Times New Roman" w:cs="Traditional Arabic" w:hint="cs"/>
          <w:sz w:val="32"/>
          <w:szCs w:val="32"/>
          <w:vertAlign w:val="superscript"/>
          <w:rtl/>
        </w:rPr>
        <w:t>)</w:t>
      </w:r>
      <w:r w:rsidRPr="00D94965">
        <w:rPr>
          <w:rFonts w:ascii="Times New Roman" w:hAnsi="Times New Roman" w:cs="Traditional Arabic" w:hint="cs"/>
          <w:sz w:val="32"/>
          <w:szCs w:val="32"/>
          <w:rtl/>
        </w:rPr>
        <w:t>.</w:t>
      </w:r>
    </w:p>
    <w:p w:rsidR="00FE4CB4" w:rsidRDefault="00FE4CB4" w:rsidP="00FE4CB4">
      <w:pPr>
        <w:bidi/>
        <w:ind w:right="142"/>
        <w:rPr>
          <w:rFonts w:ascii="Times New Roman" w:hAnsi="Times New Roman" w:cs="Traditional Arabic"/>
          <w:sz w:val="32"/>
          <w:szCs w:val="32"/>
          <w:rtl/>
        </w:rPr>
      </w:pPr>
      <w:r w:rsidRPr="00D94965">
        <w:rPr>
          <w:rFonts w:ascii="Times New Roman" w:hAnsi="Times New Roman" w:cs="Traditional Arabic" w:hint="cs"/>
          <w:sz w:val="32"/>
          <w:szCs w:val="32"/>
          <w:rtl/>
        </w:rPr>
        <w:t xml:space="preserve">وعبد القاهر الجرجاني(ت471هـ) ناقش ذلك في دلائل الإعجاز في معرض حديثه عن تحقيق القول على البلاغة والفصاحة ، كما نجد </w:t>
      </w:r>
      <w:proofErr w:type="spellStart"/>
      <w:r w:rsidRPr="00D94965">
        <w:rPr>
          <w:rFonts w:ascii="Times New Roman" w:hAnsi="Times New Roman" w:cs="Traditional Arabic" w:hint="cs"/>
          <w:sz w:val="32"/>
          <w:szCs w:val="32"/>
          <w:rtl/>
        </w:rPr>
        <w:t>السكاكي</w:t>
      </w:r>
      <w:proofErr w:type="spellEnd"/>
      <w:r w:rsidRPr="00D94965">
        <w:rPr>
          <w:rFonts w:ascii="Times New Roman" w:hAnsi="Times New Roman" w:cs="Traditional Arabic" w:hint="cs"/>
          <w:sz w:val="32"/>
          <w:szCs w:val="32"/>
          <w:rtl/>
        </w:rPr>
        <w:t xml:space="preserve"> (ت626هـ) صاحب (المفتاح) متأثرا بالفصاحة والدرس الصوتي فأورد لنا رسما بيانيا مبسطا لجهاز النطق ، وقام بتوزيع الأصوات عليه . لقد كان </w:t>
      </w:r>
      <w:proofErr w:type="gramStart"/>
      <w:r w:rsidRPr="00D94965">
        <w:rPr>
          <w:rFonts w:ascii="Times New Roman" w:hAnsi="Times New Roman" w:cs="Traditional Arabic" w:hint="cs"/>
          <w:sz w:val="32"/>
          <w:szCs w:val="32"/>
          <w:rtl/>
        </w:rPr>
        <w:t>هذا</w:t>
      </w:r>
      <w:proofErr w:type="gramEnd"/>
      <w:r w:rsidRPr="00D94965">
        <w:rPr>
          <w:rFonts w:ascii="Times New Roman" w:hAnsi="Times New Roman" w:cs="Traditional Arabic" w:hint="cs"/>
          <w:sz w:val="32"/>
          <w:szCs w:val="32"/>
          <w:rtl/>
        </w:rPr>
        <w:t xml:space="preserve"> بإيجاز مدار الدرس الصوتي عند البلاغيين.</w:t>
      </w:r>
    </w:p>
    <w:p w:rsidR="00F91383" w:rsidRDefault="00F91383" w:rsidP="00FE4CB4">
      <w:pPr>
        <w:bidi/>
      </w:pPr>
    </w:p>
    <w:sectPr w:rsidR="00F91383" w:rsidSect="008C378A">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383" w:rsidRDefault="00F91383" w:rsidP="00FE4CB4">
      <w:pPr>
        <w:spacing w:after="0" w:line="240" w:lineRule="auto"/>
      </w:pPr>
      <w:r>
        <w:separator/>
      </w:r>
    </w:p>
  </w:endnote>
  <w:endnote w:type="continuationSeparator" w:id="1">
    <w:p w:rsidR="00F91383" w:rsidRDefault="00F91383" w:rsidP="00FE4C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56251"/>
      <w:docPartObj>
        <w:docPartGallery w:val="Page Numbers (Bottom of Page)"/>
        <w:docPartUnique/>
      </w:docPartObj>
    </w:sdtPr>
    <w:sdtContent>
      <w:p w:rsidR="000F363F" w:rsidRDefault="000F363F">
        <w:pPr>
          <w:pStyle w:val="Pieddepage"/>
          <w:jc w:val="center"/>
        </w:pPr>
        <w:fldSimple w:instr=" PAGE   \* MERGEFORMAT ">
          <w:r>
            <w:rPr>
              <w:noProof/>
            </w:rPr>
            <w:t>1</w:t>
          </w:r>
        </w:fldSimple>
      </w:p>
    </w:sdtContent>
  </w:sdt>
  <w:p w:rsidR="000F363F" w:rsidRDefault="000F363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383" w:rsidRDefault="00F91383" w:rsidP="00FE4CB4">
      <w:pPr>
        <w:spacing w:after="0" w:line="240" w:lineRule="auto"/>
      </w:pPr>
      <w:r>
        <w:separator/>
      </w:r>
    </w:p>
  </w:footnote>
  <w:footnote w:type="continuationSeparator" w:id="1">
    <w:p w:rsidR="00F91383" w:rsidRDefault="00F91383" w:rsidP="00FE4CB4">
      <w:pPr>
        <w:spacing w:after="0" w:line="240" w:lineRule="auto"/>
      </w:pPr>
      <w:r>
        <w:continuationSeparator/>
      </w:r>
    </w:p>
  </w:footnote>
  <w:footnote w:id="2">
    <w:p w:rsidR="00FE4CB4" w:rsidRPr="00C52C3A" w:rsidRDefault="00FE4CB4" w:rsidP="00FE4CB4">
      <w:pPr>
        <w:pStyle w:val="Notedebasdepage"/>
        <w:widowControl w:val="0"/>
        <w:spacing w:line="223" w:lineRule="auto"/>
        <w:ind w:left="550" w:hanging="550"/>
        <w:jc w:val="lowKashida"/>
        <w:rPr>
          <w:sz w:val="26"/>
          <w:szCs w:val="26"/>
          <w:rtl/>
        </w:rPr>
      </w:pPr>
      <w:r>
        <w:rPr>
          <w:rFonts w:hint="cs"/>
          <w:sz w:val="26"/>
          <w:szCs w:val="26"/>
          <w:rtl/>
        </w:rPr>
        <w:t xml:space="preserve">28- </w:t>
      </w:r>
      <w:r w:rsidRPr="00C52C3A">
        <w:rPr>
          <w:rFonts w:hint="cs"/>
          <w:sz w:val="26"/>
          <w:szCs w:val="26"/>
          <w:rtl/>
        </w:rPr>
        <w:t>سر الفصاحة 6 ـ 24</w:t>
      </w:r>
      <w:r>
        <w:rPr>
          <w:rFonts w:hint="cs"/>
          <w:sz w:val="26"/>
          <w:szCs w:val="26"/>
          <w:rtl/>
        </w:rPr>
        <w:t>,</w:t>
      </w:r>
      <w:r w:rsidRPr="00C52C3A">
        <w:rPr>
          <w:rFonts w:hint="cs"/>
          <w:sz w:val="26"/>
          <w:szCs w:val="26"/>
          <w:rtl/>
        </w:rPr>
        <w:t xml:space="preserve"> 53 ـ 54</w:t>
      </w:r>
      <w:r>
        <w:rPr>
          <w:rFonts w:hint="cs"/>
          <w:sz w:val="26"/>
          <w:szCs w:val="26"/>
          <w:rtl/>
        </w:rPr>
        <w:t>,</w:t>
      </w:r>
      <w:r w:rsidRPr="00C52C3A">
        <w:rPr>
          <w:rFonts w:hint="cs"/>
          <w:sz w:val="26"/>
          <w:szCs w:val="26"/>
          <w:rtl/>
        </w:rPr>
        <w:t xml:space="preserve"> 60 ـ 61</w:t>
      </w:r>
      <w:r>
        <w:rPr>
          <w:rFonts w:hint="cs"/>
          <w:sz w:val="26"/>
          <w:szCs w:val="26"/>
          <w:rtl/>
        </w:rPr>
        <w:t>,</w:t>
      </w:r>
      <w:r w:rsidRPr="00C52C3A">
        <w:rPr>
          <w:rFonts w:hint="cs"/>
          <w:sz w:val="26"/>
          <w:szCs w:val="26"/>
          <w:rtl/>
        </w:rPr>
        <w:t xml:space="preserve"> 91 ـ 94</w:t>
      </w:r>
      <w:r>
        <w:rPr>
          <w:rFonts w:hint="cs"/>
          <w:sz w:val="26"/>
          <w:szCs w:val="26"/>
          <w:rtl/>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FE4CB4"/>
    <w:rsid w:val="000F363F"/>
    <w:rsid w:val="008C378A"/>
    <w:rsid w:val="00F91383"/>
    <w:rsid w:val="00FE4CB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78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FE4CB4"/>
    <w:pPr>
      <w:bidi/>
      <w:spacing w:after="0" w:line="240" w:lineRule="auto"/>
    </w:pPr>
    <w:rPr>
      <w:rFonts w:ascii="Traditional Arabic" w:eastAsia="Times New Roman" w:hAnsi="Traditional Arabic" w:cs="Traditional Arabic"/>
      <w:color w:val="000000"/>
      <w:sz w:val="20"/>
      <w:szCs w:val="20"/>
      <w:lang w:val="en-US" w:eastAsia="en-US"/>
    </w:rPr>
  </w:style>
  <w:style w:type="character" w:customStyle="1" w:styleId="NotedebasdepageCar">
    <w:name w:val="Note de bas de page Car"/>
    <w:basedOn w:val="Policepardfaut"/>
    <w:link w:val="Notedebasdepage"/>
    <w:semiHidden/>
    <w:rsid w:val="00FE4CB4"/>
    <w:rPr>
      <w:rFonts w:ascii="Traditional Arabic" w:eastAsia="Times New Roman" w:hAnsi="Traditional Arabic" w:cs="Traditional Arabic"/>
      <w:color w:val="000000"/>
      <w:sz w:val="20"/>
      <w:szCs w:val="20"/>
      <w:lang w:val="en-US" w:eastAsia="en-US"/>
    </w:rPr>
  </w:style>
  <w:style w:type="character" w:styleId="Appelnotedebasdep">
    <w:name w:val="footnote reference"/>
    <w:basedOn w:val="Policepardfaut"/>
    <w:semiHidden/>
    <w:rsid w:val="00FE4CB4"/>
    <w:rPr>
      <w:vertAlign w:val="superscript"/>
    </w:rPr>
  </w:style>
  <w:style w:type="paragraph" w:styleId="En-tte">
    <w:name w:val="header"/>
    <w:basedOn w:val="Normal"/>
    <w:link w:val="En-tteCar"/>
    <w:uiPriority w:val="99"/>
    <w:semiHidden/>
    <w:unhideWhenUsed/>
    <w:rsid w:val="000F363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F363F"/>
  </w:style>
  <w:style w:type="paragraph" w:styleId="Pieddepage">
    <w:name w:val="footer"/>
    <w:basedOn w:val="Normal"/>
    <w:link w:val="PieddepageCar"/>
    <w:uiPriority w:val="99"/>
    <w:unhideWhenUsed/>
    <w:rsid w:val="000F363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363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191</Words>
  <Characters>1055</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c:creator>
  <cp:keywords/>
  <dc:description/>
  <cp:lastModifiedBy>f</cp:lastModifiedBy>
  <cp:revision>3</cp:revision>
  <dcterms:created xsi:type="dcterms:W3CDTF">2006-07-20T00:15:00Z</dcterms:created>
  <dcterms:modified xsi:type="dcterms:W3CDTF">2006-07-20T03:23:00Z</dcterms:modified>
</cp:coreProperties>
</file>