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6" w:rsidRDefault="00C518A6"/>
    <w:p w:rsidR="00AB67B3" w:rsidRDefault="00AB67B3" w:rsidP="00C518A6">
      <w:pPr>
        <w:jc w:val="right"/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مفهو</w:t>
      </w:r>
      <w:r w:rsidR="003B6628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م فلسفة العلوم</w:t>
      </w:r>
    </w:p>
    <w:p w:rsidR="00F92D9F" w:rsidRDefault="00F92D9F" w:rsidP="00C518A6">
      <w:pPr>
        <w:jc w:val="right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</w:p>
    <w:p w:rsidR="00AB67B3" w:rsidRPr="00F1687C" w:rsidRDefault="00F35710" w:rsidP="003B6628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</w:t>
      </w:r>
      <w:proofErr w:type="gramEnd"/>
      <w:r w:rsidR="003B6628"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مصطلح فلسفة العلوم مصطلح جديد يطلق على مبحث </w:t>
      </w:r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أضافه</w:t>
      </w:r>
      <w:r w:rsidR="003B6628"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المحدثون </w:t>
      </w:r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إلى</w:t>
      </w:r>
      <w:r w:rsidR="003B6628"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مباحث التفكير الفلسفي والعلمي على حد سواء يهدف </w:t>
      </w:r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إلى</w:t>
      </w:r>
      <w:r w:rsidR="003B6628"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إيجاد</w:t>
      </w:r>
      <w:r w:rsidR="003B6628"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حلقة وصل بين الفلسفة والعلم </w:t>
      </w:r>
    </w:p>
    <w:p w:rsidR="003B6628" w:rsidRPr="00F1687C" w:rsidRDefault="003B6628" w:rsidP="003B6628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ورغم تعدد تعريفات فلسفة العلوم </w:t>
      </w:r>
      <w:r w:rsidR="00F35710"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</w:t>
      </w:r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انه يمكن حصرها </w:t>
      </w:r>
      <w:proofErr w:type="gramStart"/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proofErr w:type="gramEnd"/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ثلاث تعريفات </w:t>
      </w:r>
      <w:r w:rsidR="00F35710"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أساسية</w:t>
      </w:r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هي:</w:t>
      </w:r>
    </w:p>
    <w:p w:rsidR="00F1687C" w:rsidRDefault="003B6628" w:rsidP="00F1687C">
      <w:pPr>
        <w:jc w:val="right"/>
        <w:rPr>
          <w:rFonts w:ascii="Traditional Arabic" w:hAnsi="Traditional Arabic" w:cs="Traditional Arabic"/>
          <w:b/>
          <w:bCs/>
          <w:sz w:val="36"/>
          <w:szCs w:val="36"/>
        </w:rPr>
      </w:pPr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تعريف ضيق</w:t>
      </w:r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 تتبناه الفلسفة الوضعية أوجست كونت يعرفها بأنها الدراسة الخاصة للمفاهيم العامة لمختلف العلوم من حيث أن هده الدراسة </w:t>
      </w:r>
      <w:r w:rsidR="00207F9B"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خاضعة لمنهج واحد ومن حيث أنها أجزاء مختلفة لمبحث عام   أما زكي نجيب محمود فيعرفها في كتابه المنطق الوضعي بقوله : هي تلك الفلسفة التي تحلل العلم ولا تكون جزءا منه </w:t>
      </w:r>
    </w:p>
    <w:p w:rsidR="00F1687C" w:rsidRPr="00C9437B" w:rsidRDefault="00207F9B" w:rsidP="00F1687C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تعريف واسع</w:t>
      </w:r>
      <w:r w:rsidRP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ومن بين الذين اخذوا </w:t>
      </w:r>
      <w:proofErr w:type="spellStart"/>
      <w:r w:rsid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به</w:t>
      </w:r>
      <w:proofErr w:type="spellEnd"/>
      <w:r w:rsidR="00F168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محمد عابد الجابري في كتابه مدخل إلى فلسفة العلوم حيث يعرفها قائلا : مصطلح فلسفة العلوم مصطلح غامض عائم فكل تفكير في العلم أو في </w:t>
      </w:r>
      <w:r w:rsidR="00F1687C" w:rsidRPr="00C9437B">
        <w:rPr>
          <w:rFonts w:ascii="Traditional Arabic" w:hAnsi="Traditional Arabic" w:cs="Traditional Arabic"/>
          <w:b/>
          <w:bCs/>
          <w:sz w:val="36"/>
          <w:szCs w:val="36"/>
          <w:rtl/>
        </w:rPr>
        <w:t>جانب من  جوانبه   في مبادئه أو فروضه أو قوانينه في نتائجه الفلسفية أو قيمته المنطقية والأخلاقية هو بشكل أو بأخر فلسفة للعلم</w:t>
      </w:r>
    </w:p>
    <w:p w:rsidR="00C9437B" w:rsidRDefault="00F1687C" w:rsidP="00C9437B">
      <w:pPr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3571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تعريف </w:t>
      </w:r>
      <w:proofErr w:type="gramStart"/>
      <w:r w:rsidRPr="00F3571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وسطي</w:t>
      </w:r>
      <w:r w:rsidRPr="00C9437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Pr="00C9437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يقدم الدكتور ماهر عبد القادر في كتابه المنطق الاستقرائي </w:t>
      </w:r>
      <w:r w:rsidR="00C9437B" w:rsidRPr="00C9437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تعريفا لفلسفة العلوم قائلا : نعني بفلسفة العلوم الدراسة التي تقوم على فحص مناهج العلماء ونقدها وتحليلها البناء العلمي ككل وتداول مشكلات العلم من جوانبه المعرفية </w:t>
      </w:r>
    </w:p>
    <w:p w:rsidR="00F92D9F" w:rsidRDefault="00F92D9F" w:rsidP="00F92D9F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</w:pPr>
    </w:p>
    <w:p w:rsidR="00F92D9F" w:rsidRDefault="00F92D9F" w:rsidP="00F92D9F">
      <w:pP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</w:pPr>
    </w:p>
    <w:p w:rsidR="00F92D9F" w:rsidRPr="00F92D9F" w:rsidRDefault="00F92D9F" w:rsidP="00F92D9F">
      <w:pPr>
        <w:jc w:val="right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</w:pPr>
      <w:r w:rsidRPr="00F92D9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lastRenderedPageBreak/>
        <w:t>مجالات فلسفة العلوم</w:t>
      </w:r>
    </w:p>
    <w:p w:rsidR="00C9437B" w:rsidRDefault="00C9437B" w:rsidP="00F92D9F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المجال </w:t>
      </w:r>
      <w:proofErr w:type="spellStart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الأنطولوجي</w:t>
      </w:r>
      <w:proofErr w:type="spellEnd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أو الوجودي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: المتصل بنظرية الوجود وما يترتب عن بعض التصورات والمفاهيم العلمية مثل المادة الطاقة الدرة الخ</w:t>
      </w:r>
    </w:p>
    <w:p w:rsidR="00F35710" w:rsidRDefault="00C9437B" w:rsidP="00C9437B">
      <w:pPr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3571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المجال </w:t>
      </w:r>
      <w:proofErr w:type="spellStart"/>
      <w:r w:rsidRPr="00F3571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الابستمولوجي</w:t>
      </w:r>
      <w:proofErr w:type="spellEnd"/>
      <w:r w:rsidRPr="00F3571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ويتعلق بنظرية المعرفة </w:t>
      </w:r>
      <w:r w:rsidR="00F35710" w:rsidRPr="00F3571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التي </w:t>
      </w:r>
      <w:r w:rsidR="00F35710"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تتألف</w:t>
      </w:r>
      <w:r w:rsidR="00F35710" w:rsidRPr="00F35710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من ثلاث محاور أساسية </w:t>
      </w:r>
    </w:p>
    <w:p w:rsidR="00F35710" w:rsidRPr="00F35710" w:rsidRDefault="00F35710" w:rsidP="00F35710">
      <w:pPr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مصادر</w:t>
      </w:r>
      <w:proofErr w:type="gramEnd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المعرفة </w:t>
      </w:r>
    </w:p>
    <w:p w:rsidR="00F35710" w:rsidRPr="00F35710" w:rsidRDefault="00F35710" w:rsidP="00F35710">
      <w:pPr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طبيعة</w:t>
      </w:r>
      <w:proofErr w:type="gramEnd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المعرفة</w:t>
      </w:r>
    </w:p>
    <w:p w:rsidR="00C9437B" w:rsidRDefault="00F35710" w:rsidP="00F35710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إمكان المعرفة</w:t>
      </w:r>
    </w:p>
    <w:p w:rsidR="00F35710" w:rsidRDefault="00F35710" w:rsidP="00F35710">
      <w:pPr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المجال </w:t>
      </w:r>
      <w:proofErr w:type="spellStart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الأكسيولوجي</w:t>
      </w:r>
      <w:proofErr w:type="spellEnd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او</w:t>
      </w:r>
      <w:proofErr w:type="spellEnd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القيمي</w:t>
      </w:r>
      <w:proofErr w:type="spellEnd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ويتعلق الأمر بثلاث قيم أساسية </w:t>
      </w:r>
    </w:p>
    <w:p w:rsidR="00F35710" w:rsidRPr="00F35710" w:rsidRDefault="00F35710" w:rsidP="00F35710">
      <w:pPr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الأخلاقية</w:t>
      </w:r>
      <w:proofErr w:type="gramEnd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الخير والشر </w:t>
      </w:r>
    </w:p>
    <w:p w:rsidR="00F35710" w:rsidRPr="00F35710" w:rsidRDefault="00F35710" w:rsidP="00F35710">
      <w:pPr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المنطقية الصواب </w:t>
      </w:r>
      <w:proofErr w:type="gramStart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والخطأ  </w:t>
      </w:r>
      <w:proofErr w:type="gramEnd"/>
    </w:p>
    <w:p w:rsidR="00F35710" w:rsidRPr="00F35710" w:rsidRDefault="00F35710" w:rsidP="00F35710">
      <w:pPr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الجمالية</w:t>
      </w:r>
      <w:proofErr w:type="gramEnd"/>
      <w:r w:rsidRPr="00F3571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الجمال والقبح</w:t>
      </w:r>
    </w:p>
    <w:sectPr w:rsidR="00F35710" w:rsidRPr="00F35710" w:rsidSect="00813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5BC"/>
    <w:multiLevelType w:val="hybridMultilevel"/>
    <w:tmpl w:val="2AE4B102"/>
    <w:lvl w:ilvl="0" w:tplc="9B6CE81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6D6A"/>
    <w:multiLevelType w:val="hybridMultilevel"/>
    <w:tmpl w:val="B696327C"/>
    <w:lvl w:ilvl="0" w:tplc="1CDA4DB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C518A6"/>
    <w:rsid w:val="00207F9B"/>
    <w:rsid w:val="00252FF7"/>
    <w:rsid w:val="003B6628"/>
    <w:rsid w:val="007215FF"/>
    <w:rsid w:val="00813003"/>
    <w:rsid w:val="00AB67B3"/>
    <w:rsid w:val="00C21E93"/>
    <w:rsid w:val="00C518A6"/>
    <w:rsid w:val="00C9437B"/>
    <w:rsid w:val="00CC0B95"/>
    <w:rsid w:val="00E667FD"/>
    <w:rsid w:val="00F1687C"/>
    <w:rsid w:val="00F35710"/>
    <w:rsid w:val="00F92D9F"/>
    <w:rsid w:val="00FB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2020-12-08T13:22:00Z</dcterms:created>
  <dcterms:modified xsi:type="dcterms:W3CDTF">2020-12-08T19:02:00Z</dcterms:modified>
</cp:coreProperties>
</file>