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98" w:rsidRDefault="00225798" w:rsidP="00225798">
      <w:pPr>
        <w:tabs>
          <w:tab w:val="left" w:pos="71"/>
        </w:tabs>
        <w:bidi/>
        <w:spacing w:line="276" w:lineRule="auto"/>
        <w:jc w:val="center"/>
        <w:rPr>
          <w:rFonts w:ascii="Simplified Arabic" w:hAnsi="Simplified Arabic" w:cs="Simplified Arabic"/>
          <w:b/>
          <w:bCs/>
          <w:sz w:val="32"/>
          <w:szCs w:val="32"/>
        </w:rPr>
      </w:pPr>
      <w:r w:rsidRPr="00225798">
        <w:rPr>
          <w:rFonts w:ascii="Simplified Arabic" w:hAnsi="Simplified Arabic" w:cs="Simplified Arabic"/>
          <w:b/>
          <w:bCs/>
          <w:sz w:val="32"/>
          <w:szCs w:val="32"/>
          <w:rtl/>
        </w:rPr>
        <w:t>قــواعـــد تــسـيـيــر الأمـــلاك الـــوطـنـيــة الـخـــاصـــة</w:t>
      </w:r>
    </w:p>
    <w:p w:rsidR="00225798" w:rsidRPr="00225798" w:rsidRDefault="00225798" w:rsidP="00225798">
      <w:pPr>
        <w:tabs>
          <w:tab w:val="left" w:pos="71"/>
        </w:tabs>
        <w:bidi/>
        <w:spacing w:line="276" w:lineRule="auto"/>
        <w:rPr>
          <w:rFonts w:ascii="Simplified Arabic" w:hAnsi="Simplified Arabic" w:cs="Simplified Arabic"/>
          <w:b/>
          <w:bCs/>
          <w:sz w:val="32"/>
          <w:szCs w:val="32"/>
          <w:rtl/>
        </w:rPr>
      </w:pP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ورد تحت باب القواعد المطبقة في تسيير الأملاك الوطنية الخاصة طائفتين من </w:t>
      </w:r>
      <w:proofErr w:type="gramStart"/>
      <w:r w:rsidRPr="00225798">
        <w:rPr>
          <w:rFonts w:ascii="Simplified Arabic" w:hAnsi="Simplified Arabic" w:cs="Simplified Arabic"/>
          <w:sz w:val="32"/>
          <w:szCs w:val="32"/>
          <w:rtl/>
        </w:rPr>
        <w:t>الأحكام :</w:t>
      </w:r>
      <w:proofErr w:type="gramEnd"/>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 الطائفة الأولى </w:t>
      </w:r>
      <w:proofErr w:type="gramStart"/>
      <w:r w:rsidRPr="00225798">
        <w:rPr>
          <w:rFonts w:ascii="Simplified Arabic" w:hAnsi="Simplified Arabic" w:cs="Simplified Arabic"/>
          <w:sz w:val="32"/>
          <w:szCs w:val="32"/>
          <w:rtl/>
        </w:rPr>
        <w:t>تخص</w:t>
      </w:r>
      <w:proofErr w:type="gramEnd"/>
      <w:r w:rsidRPr="00225798">
        <w:rPr>
          <w:rFonts w:ascii="Simplified Arabic" w:hAnsi="Simplified Arabic" w:cs="Simplified Arabic"/>
          <w:sz w:val="32"/>
          <w:szCs w:val="32"/>
          <w:rtl/>
        </w:rPr>
        <w:t xml:space="preserve"> الأحكام العامة المطبقة في تخصيص الأملاك الخاصة.</w:t>
      </w:r>
    </w:p>
    <w:p w:rsidR="00225798" w:rsidRPr="00225798" w:rsidRDefault="00225798" w:rsidP="00225798">
      <w:pPr>
        <w:tabs>
          <w:tab w:val="left" w:pos="71"/>
        </w:tabs>
        <w:bidi/>
        <w:spacing w:line="276" w:lineRule="auto"/>
        <w:jc w:val="both"/>
        <w:rPr>
          <w:rFonts w:ascii="Simplified Arabic" w:hAnsi="Simplified Arabic" w:cs="Simplified Arabic"/>
          <w:sz w:val="32"/>
          <w:szCs w:val="32"/>
        </w:rPr>
      </w:pPr>
      <w:r w:rsidRPr="00225798">
        <w:rPr>
          <w:rFonts w:ascii="Simplified Arabic" w:hAnsi="Simplified Arabic" w:cs="Simplified Arabic"/>
          <w:sz w:val="32"/>
          <w:szCs w:val="32"/>
          <w:rtl/>
        </w:rPr>
        <w:t xml:space="preserve">- </w:t>
      </w:r>
      <w:proofErr w:type="gramStart"/>
      <w:r w:rsidRPr="00225798">
        <w:rPr>
          <w:rFonts w:ascii="Simplified Arabic" w:hAnsi="Simplified Arabic" w:cs="Simplified Arabic"/>
          <w:sz w:val="32"/>
          <w:szCs w:val="32"/>
          <w:rtl/>
        </w:rPr>
        <w:t>أمـا</w:t>
      </w:r>
      <w:proofErr w:type="gramEnd"/>
      <w:r w:rsidRPr="00225798">
        <w:rPr>
          <w:rFonts w:ascii="Simplified Arabic" w:hAnsi="Simplified Arabic" w:cs="Simplified Arabic"/>
          <w:sz w:val="32"/>
          <w:szCs w:val="32"/>
          <w:rtl/>
        </w:rPr>
        <w:t xml:space="preserve"> الـطـائــفـة الــثــانيــة فــركــزت عـلـى الـقـواعــد الأخــرى الـمـطـبـقـة فــي تـسـيـيـر الأمـلاك الخـاصة </w:t>
      </w:r>
      <w:r w:rsidRPr="00225798">
        <w:rPr>
          <w:rFonts w:ascii="Simplified Arabic" w:hAnsi="Simplified Arabic" w:cs="Simplified Arabic"/>
          <w:sz w:val="32"/>
          <w:szCs w:val="32"/>
        </w:rPr>
        <w:t>)</w:t>
      </w:r>
      <w:r w:rsidRPr="00225798">
        <w:rPr>
          <w:rFonts w:ascii="Simplified Arabic" w:hAnsi="Simplified Arabic" w:cs="Simplified Arabic"/>
          <w:sz w:val="32"/>
          <w:szCs w:val="32"/>
          <w:rtl/>
        </w:rPr>
        <w:t xml:space="preserve"> كالإيجار، التبادل، القسمة و البيع... </w:t>
      </w:r>
      <w:r w:rsidRPr="00225798">
        <w:rPr>
          <w:rFonts w:ascii="Simplified Arabic" w:hAnsi="Simplified Arabic" w:cs="Simplified Arabic"/>
          <w:sz w:val="32"/>
          <w:szCs w:val="32"/>
        </w:rPr>
        <w:t>(</w:t>
      </w:r>
      <w:r w:rsidRPr="00225798">
        <w:rPr>
          <w:rFonts w:ascii="Simplified Arabic" w:hAnsi="Simplified Arabic" w:cs="Simplified Arabic"/>
          <w:sz w:val="32"/>
          <w:szCs w:val="32"/>
          <w:rtl/>
        </w:rPr>
        <w:t>.</w:t>
      </w:r>
      <w:r w:rsidRPr="00225798">
        <w:rPr>
          <w:rFonts w:ascii="Simplified Arabic" w:hAnsi="Simplified Arabic" w:cs="Simplified Arabic"/>
          <w:sz w:val="32"/>
          <w:szCs w:val="32"/>
        </w:rPr>
        <w:t xml:space="preserve">   </w:t>
      </w:r>
    </w:p>
    <w:p w:rsidR="00225798" w:rsidRPr="00225798" w:rsidRDefault="00225798" w:rsidP="00225798">
      <w:pPr>
        <w:tabs>
          <w:tab w:val="left" w:pos="71"/>
        </w:tabs>
        <w:bidi/>
        <w:spacing w:line="276" w:lineRule="auto"/>
        <w:jc w:val="both"/>
        <w:rPr>
          <w:rFonts w:ascii="Simplified Arabic" w:hAnsi="Simplified Arabic" w:cs="Simplified Arabic"/>
          <w:sz w:val="32"/>
          <w:szCs w:val="32"/>
        </w:rPr>
      </w:pPr>
      <w:r w:rsidRPr="00225798">
        <w:rPr>
          <w:rFonts w:ascii="Simplified Arabic" w:hAnsi="Simplified Arabic" w:cs="Simplified Arabic"/>
          <w:sz w:val="32"/>
          <w:szCs w:val="32"/>
          <w:rtl/>
        </w:rPr>
        <w:t xml:space="preserve">       </w:t>
      </w: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إنّ  تكريس هذا الترتيب في صياغة أساليب التسيير المتبعة لم يأت هكذا وليد الصدفة، بل أن الأمر مضبوط بشكل محكم لأن الأملاك الوطنية الخاصة لا يمكن تأجيرها، قسمتها أو حتى بيعها أو التصرف فيها بشكل عام إلا بعد إلغاء تخصيصها، و ثبوت عدم قابليتها لتأدية وظيفتها في عمل المصالح و المؤسسات العمومية </w:t>
      </w:r>
      <w:r w:rsidRPr="00225798">
        <w:rPr>
          <w:rFonts w:ascii="Simplified Arabic" w:hAnsi="Simplified Arabic" w:cs="Simplified Arabic"/>
          <w:sz w:val="32"/>
          <w:szCs w:val="32"/>
          <w:vertAlign w:val="superscript"/>
          <w:rtl/>
        </w:rPr>
        <w:t>(3)</w:t>
      </w:r>
      <w:r w:rsidRPr="00225798">
        <w:rPr>
          <w:rFonts w:ascii="Simplified Arabic" w:hAnsi="Simplified Arabic" w:cs="Simplified Arabic"/>
          <w:sz w:val="32"/>
          <w:szCs w:val="32"/>
          <w:rtl/>
        </w:rPr>
        <w:t>.</w:t>
      </w: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و </w:t>
      </w:r>
      <w:proofErr w:type="gramStart"/>
      <w:r w:rsidRPr="00225798">
        <w:rPr>
          <w:rFonts w:ascii="Simplified Arabic" w:hAnsi="Simplified Arabic" w:cs="Simplified Arabic"/>
          <w:sz w:val="32"/>
          <w:szCs w:val="32"/>
          <w:rtl/>
        </w:rPr>
        <w:t>لذلك</w:t>
      </w:r>
      <w:proofErr w:type="gramEnd"/>
      <w:r w:rsidRPr="00225798">
        <w:rPr>
          <w:rFonts w:ascii="Simplified Arabic" w:hAnsi="Simplified Arabic" w:cs="Simplified Arabic"/>
          <w:sz w:val="32"/>
          <w:szCs w:val="32"/>
          <w:rtl/>
        </w:rPr>
        <w:t xml:space="preserve"> يتعين تشديد الحرص من طرف الملاك </w:t>
      </w:r>
      <w:r w:rsidRPr="00225798">
        <w:rPr>
          <w:rFonts w:ascii="Simplified Arabic" w:hAnsi="Simplified Arabic" w:cs="Simplified Arabic"/>
          <w:sz w:val="32"/>
          <w:szCs w:val="32"/>
        </w:rPr>
        <w:t>)</w:t>
      </w:r>
      <w:r w:rsidRPr="00225798">
        <w:rPr>
          <w:rFonts w:ascii="Simplified Arabic" w:hAnsi="Simplified Arabic" w:cs="Simplified Arabic"/>
          <w:sz w:val="32"/>
          <w:szCs w:val="32"/>
          <w:rtl/>
        </w:rPr>
        <w:t xml:space="preserve"> دولة، بلدية، ولاية </w:t>
      </w:r>
      <w:r w:rsidRPr="00225798">
        <w:rPr>
          <w:rFonts w:ascii="Simplified Arabic" w:hAnsi="Simplified Arabic" w:cs="Simplified Arabic"/>
          <w:sz w:val="32"/>
          <w:szCs w:val="32"/>
        </w:rPr>
        <w:t>(</w:t>
      </w:r>
      <w:r w:rsidRPr="00225798">
        <w:rPr>
          <w:rFonts w:ascii="Simplified Arabic" w:hAnsi="Simplified Arabic" w:cs="Simplified Arabic"/>
          <w:sz w:val="32"/>
          <w:szCs w:val="32"/>
          <w:rtl/>
        </w:rPr>
        <w:t xml:space="preserve"> على إعطاء الأولوية للتخصيص و بالتالي الاحتفاظ بالأملاك أطول وقت ممكن إلا إذا تخلل ذلك ورود احتمال عدم قابلية الأملاك على تأدية وظيفتها في عمل المصالح و المؤسسات العمومية كما أسلفنا الذكر.</w:t>
      </w:r>
      <w:r w:rsidRPr="00225798">
        <w:rPr>
          <w:rFonts w:ascii="Simplified Arabic" w:hAnsi="Simplified Arabic" w:cs="Simplified Arabic"/>
          <w:sz w:val="32"/>
          <w:szCs w:val="32"/>
        </w:rPr>
        <w:t xml:space="preserve">  </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إنّ تأك</w:t>
      </w:r>
      <w:proofErr w:type="gramStart"/>
      <w:r w:rsidRPr="00225798">
        <w:rPr>
          <w:rFonts w:ascii="Simplified Arabic" w:hAnsi="Simplified Arabic" w:cs="Simplified Arabic"/>
          <w:sz w:val="32"/>
          <w:szCs w:val="32"/>
          <w:rtl/>
        </w:rPr>
        <w:t>يدنا عن</w:t>
      </w:r>
      <w:proofErr w:type="gramEnd"/>
      <w:r w:rsidRPr="00225798">
        <w:rPr>
          <w:rFonts w:ascii="Simplified Arabic" w:hAnsi="Simplified Arabic" w:cs="Simplified Arabic"/>
          <w:sz w:val="32"/>
          <w:szCs w:val="32"/>
          <w:rtl/>
        </w:rPr>
        <w:t xml:space="preserve"> هذه الفكرة دافعه التجارب العملية على أرض الواقع ، بحيث ثبت بأنّ البلديات خاصة تعمد إلى التصرف في جل أملاكها بالبيع أو بغيره من ألوان التصرف ثم تقعد ملومة محصورة لعدم تمكنها من توفيــر العقــارات الــتي كــان مــن المفــروض أن تــستقبـل التجهيــزات و المرافق العمومية كالمدارس و </w:t>
      </w:r>
      <w:proofErr w:type="spellStart"/>
      <w:r w:rsidRPr="00225798">
        <w:rPr>
          <w:rFonts w:ascii="Simplified Arabic" w:hAnsi="Simplified Arabic" w:cs="Simplified Arabic"/>
          <w:sz w:val="32"/>
          <w:szCs w:val="32"/>
          <w:rtl/>
        </w:rPr>
        <w:t>المستوصفات</w:t>
      </w:r>
      <w:proofErr w:type="spellEnd"/>
      <w:r w:rsidRPr="00225798">
        <w:rPr>
          <w:rFonts w:ascii="Simplified Arabic" w:hAnsi="Simplified Arabic" w:cs="Simplified Arabic"/>
          <w:sz w:val="32"/>
          <w:szCs w:val="32"/>
          <w:rtl/>
        </w:rPr>
        <w:t xml:space="preserve"> و مقرات الإدارات العمومية ، فتكون حينئذ مجبرة على اقتناء مساحات أرضية من الخواص بأثمان باهظة.</w:t>
      </w: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و لذلك يتعين على الدولة، البلدية و الولاية رسم معالم واضحة لسياسة تسيير أملاكها ، خاصة العقارية منها.</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tl/>
        </w:rPr>
      </w:pPr>
      <w:r w:rsidRPr="00225798">
        <w:rPr>
          <w:rFonts w:ascii="Simplified Arabic" w:hAnsi="Simplified Arabic" w:cs="Simplified Arabic"/>
          <w:b/>
          <w:bCs/>
          <w:sz w:val="32"/>
          <w:szCs w:val="32"/>
          <w:u w:val="single"/>
          <w:rtl/>
        </w:rPr>
        <w:t>المطلب الأول</w:t>
      </w:r>
      <w:r w:rsidRPr="00225798">
        <w:rPr>
          <w:rFonts w:ascii="Simplified Arabic" w:hAnsi="Simplified Arabic" w:cs="Simplified Arabic"/>
          <w:b/>
          <w:bCs/>
          <w:sz w:val="32"/>
          <w:szCs w:val="32"/>
          <w:rtl/>
        </w:rPr>
        <w:t xml:space="preserve"> : الـــتـــخــصــيــص و التأجير</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         و قد نصت عليه المواد من 80 إلى 88 من القانون 90/30 و المواد من 3 الى9 من المرسوم التنفيذي رقم:91/454 ، تحت باب تسيير الأملاك الوطنية الخاصة.</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Pr>
      </w:pPr>
      <w:proofErr w:type="gramStart"/>
      <w:r w:rsidRPr="00225798">
        <w:rPr>
          <w:rFonts w:ascii="Simplified Arabic" w:hAnsi="Simplified Arabic" w:cs="Simplified Arabic"/>
          <w:b/>
          <w:bCs/>
          <w:sz w:val="32"/>
          <w:szCs w:val="32"/>
          <w:u w:val="single"/>
          <w:rtl/>
        </w:rPr>
        <w:lastRenderedPageBreak/>
        <w:t>الفرع</w:t>
      </w:r>
      <w:proofErr w:type="gramEnd"/>
      <w:r w:rsidRPr="00225798">
        <w:rPr>
          <w:rFonts w:ascii="Simplified Arabic" w:hAnsi="Simplified Arabic" w:cs="Simplified Arabic"/>
          <w:b/>
          <w:bCs/>
          <w:sz w:val="32"/>
          <w:szCs w:val="32"/>
          <w:u w:val="single"/>
          <w:rtl/>
        </w:rPr>
        <w:t xml:space="preserve"> الأول</w:t>
      </w:r>
      <w:r w:rsidRPr="00225798">
        <w:rPr>
          <w:rFonts w:ascii="Simplified Arabic" w:hAnsi="Simplified Arabic" w:cs="Simplified Arabic"/>
          <w:b/>
          <w:bCs/>
          <w:sz w:val="32"/>
          <w:szCs w:val="32"/>
          <w:rtl/>
        </w:rPr>
        <w:t xml:space="preserve">: الـتخـصـيص </w:t>
      </w:r>
      <w:r w:rsidRPr="00225798">
        <w:rPr>
          <w:rFonts w:ascii="Simplified Arabic" w:hAnsi="Simplified Arabic" w:cs="Simplified Arabic"/>
          <w:b/>
          <w:bCs/>
          <w:sz w:val="32"/>
          <w:szCs w:val="32"/>
        </w:rPr>
        <w:t>L’affectation</w:t>
      </w:r>
    </w:p>
    <w:p w:rsidR="00225798" w:rsidRDefault="00225798" w:rsidP="00225798">
      <w:pPr>
        <w:tabs>
          <w:tab w:val="left" w:pos="71"/>
        </w:tabs>
        <w:bidi/>
        <w:spacing w:line="276" w:lineRule="auto"/>
        <w:jc w:val="both"/>
        <w:rPr>
          <w:rFonts w:ascii="Simplified Arabic" w:hAnsi="Simplified Arabic" w:cs="Simplified Arabic"/>
          <w:sz w:val="32"/>
          <w:szCs w:val="32"/>
        </w:rPr>
      </w:pP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يقصد بالتخصيص وضع أحد الأملاك الوطنية الخاصة التي تملكها الدولة أو الجماعة الإقليمية تحت تصرف دائرة وزارية أو مصلحة عمومية أو مؤسسة عمومية قصد تمكينها من أداء المهمة المسندة إليها </w:t>
      </w:r>
      <w:r w:rsidRPr="00225798">
        <w:rPr>
          <w:rFonts w:ascii="Simplified Arabic" w:hAnsi="Simplified Arabic" w:cs="Simplified Arabic"/>
          <w:sz w:val="32"/>
          <w:szCs w:val="32"/>
          <w:vertAlign w:val="superscript"/>
          <w:rtl/>
        </w:rPr>
        <w:t xml:space="preserve">  </w:t>
      </w:r>
      <w:r w:rsidRPr="00225798">
        <w:rPr>
          <w:rFonts w:ascii="Simplified Arabic" w:hAnsi="Simplified Arabic" w:cs="Simplified Arabic"/>
          <w:sz w:val="32"/>
          <w:szCs w:val="32"/>
          <w:rtl/>
        </w:rPr>
        <w:t>ك</w:t>
      </w:r>
      <w:r w:rsidRPr="00225798">
        <w:rPr>
          <w:rFonts w:ascii="Simplified Arabic" w:hAnsi="Simplified Arabic" w:cs="Simplified Arabic"/>
          <w:sz w:val="32"/>
          <w:szCs w:val="32"/>
          <w:rtl/>
          <w:lang w:bidi="ar-DZ"/>
        </w:rPr>
        <w:t>ت</w:t>
      </w:r>
      <w:proofErr w:type="spellStart"/>
      <w:r w:rsidRPr="00225798">
        <w:rPr>
          <w:rFonts w:ascii="Simplified Arabic" w:hAnsi="Simplified Arabic" w:cs="Simplified Arabic"/>
          <w:sz w:val="32"/>
          <w:szCs w:val="32"/>
          <w:rtl/>
        </w:rPr>
        <w:t>خصيص</w:t>
      </w:r>
      <w:proofErr w:type="spellEnd"/>
      <w:r w:rsidRPr="00225798">
        <w:rPr>
          <w:rFonts w:ascii="Simplified Arabic" w:hAnsi="Simplified Arabic" w:cs="Simplified Arabic"/>
          <w:sz w:val="32"/>
          <w:szCs w:val="32"/>
          <w:rtl/>
        </w:rPr>
        <w:t xml:space="preserve"> عقار تابع للدولة بموجب قرار وزاري صادر عن الوزارة المكلف بالمالية حتى يكون مقر لوزارة العدل أو تخصيص عقار تابع للدولة بموجب قرار ولائي يستعمل لإيواء مديرية الري.</w:t>
      </w:r>
      <w:r w:rsidRPr="00225798">
        <w:rPr>
          <w:rFonts w:ascii="Simplified Arabic" w:hAnsi="Simplified Arabic" w:cs="Simplified Arabic"/>
          <w:noProof/>
          <w:sz w:val="32"/>
          <w:szCs w:val="32"/>
          <w:rtl/>
        </w:rPr>
        <w:pict>
          <v:line id="_x0000_s1027" style="position:absolute;left:0;text-align:left;flip:x;z-index:251661312;mso-position-horizontal-relative:text;mso-position-vertical-relative:text" from="252pt,20.15pt" to="468pt,20.15pt">
            <w10:wrap anchorx="page"/>
          </v:line>
        </w:pict>
      </w:r>
      <w:r w:rsidRPr="00225798">
        <w:rPr>
          <w:rFonts w:ascii="Simplified Arabic" w:hAnsi="Simplified Arabic" w:cs="Simplified Arabic"/>
          <w:noProof/>
          <w:sz w:val="32"/>
          <w:szCs w:val="32"/>
          <w:rtl/>
        </w:rPr>
        <w:pict>
          <v:rect id="_x0000_s1026" style="position:absolute;left:0;text-align:left;margin-left:6pt;margin-top:5pt;width:489pt;height:58.8pt;z-index:251660288;mso-position-horizontal-relative:text;mso-position-vertical-relative:text" stroked="f">
            <v:textbox style="mso-next-textbox:#_x0000_s1026">
              <w:txbxContent>
                <w:p w:rsidR="00225798" w:rsidRPr="00225798" w:rsidRDefault="00225798" w:rsidP="00225798">
                  <w:pPr>
                    <w:bidi/>
                    <w:rPr>
                      <w:sz w:val="20"/>
                      <w:szCs w:val="20"/>
                    </w:rPr>
                  </w:pPr>
                </w:p>
              </w:txbxContent>
            </v:textbox>
            <w10:wrap anchorx="page"/>
          </v:rect>
        </w:pict>
      </w:r>
      <w:r w:rsidRPr="00225798">
        <w:rPr>
          <w:rFonts w:ascii="Simplified Arabic" w:hAnsi="Simplified Arabic" w:cs="Simplified Arabic"/>
          <w:sz w:val="32"/>
          <w:szCs w:val="32"/>
          <w:rtl/>
        </w:rPr>
        <w:t xml:space="preserve"> </w:t>
      </w:r>
    </w:p>
    <w:p w:rsidR="00225798" w:rsidRPr="00225798" w:rsidRDefault="00225798" w:rsidP="00225798">
      <w:pPr>
        <w:tabs>
          <w:tab w:val="left" w:pos="71"/>
        </w:tabs>
        <w:bidi/>
        <w:spacing w:line="276" w:lineRule="auto"/>
        <w:jc w:val="both"/>
        <w:rPr>
          <w:rFonts w:ascii="Simplified Arabic" w:hAnsi="Simplified Arabic" w:cs="Simplified Arabic"/>
          <w:sz w:val="32"/>
          <w:szCs w:val="32"/>
        </w:rPr>
      </w:pPr>
      <w:r>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و </w:t>
      </w:r>
      <w:proofErr w:type="gramStart"/>
      <w:r w:rsidRPr="00225798">
        <w:rPr>
          <w:rFonts w:ascii="Simplified Arabic" w:hAnsi="Simplified Arabic" w:cs="Simplified Arabic"/>
          <w:sz w:val="32"/>
          <w:szCs w:val="32"/>
          <w:rtl/>
        </w:rPr>
        <w:t>حسب</w:t>
      </w:r>
      <w:proofErr w:type="gramEnd"/>
      <w:r w:rsidRPr="00225798">
        <w:rPr>
          <w:rFonts w:ascii="Simplified Arabic" w:hAnsi="Simplified Arabic" w:cs="Simplified Arabic"/>
          <w:sz w:val="32"/>
          <w:szCs w:val="32"/>
          <w:rtl/>
        </w:rPr>
        <w:t xml:space="preserve"> المادة 3 من المرسوم التنفيذي رقم: 91/454 فان قرار التخصيص يكون من صلاحيات الوزير المكلف بالمالية إذا كان لفائدة مؤسسة وطنية أو وزارة أو هيئة عمومية ذات اختصاص وطني أو جماعات محلية.أما إذا تعلق الأمر بمصالح غير ممركزة أو مؤسسات و هيئات عمومية تابعة للدولة ذات الاختصاص المحلي في الولاية ، فان الاختصاص يعود للوالي كممثل عن وزير المالية.</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         </w:t>
      </w:r>
      <w:proofErr w:type="gramStart"/>
      <w:r w:rsidRPr="00225798">
        <w:rPr>
          <w:rFonts w:ascii="Simplified Arabic" w:hAnsi="Simplified Arabic" w:cs="Simplified Arabic"/>
          <w:sz w:val="32"/>
          <w:szCs w:val="32"/>
          <w:rtl/>
        </w:rPr>
        <w:t>فالتخصيص</w:t>
      </w:r>
      <w:proofErr w:type="gramEnd"/>
      <w:r w:rsidRPr="00225798">
        <w:rPr>
          <w:rFonts w:ascii="Simplified Arabic" w:hAnsi="Simplified Arabic" w:cs="Simplified Arabic"/>
          <w:sz w:val="32"/>
          <w:szCs w:val="32"/>
          <w:rtl/>
        </w:rPr>
        <w:t xml:space="preserve"> إذا لا يمنح إلا للمصالح التابعة للدولة و الهيئات العمومية ذات الطابع الإداري.</w:t>
      </w:r>
      <w:proofErr w:type="gramStart"/>
      <w:r w:rsidRPr="00225798">
        <w:rPr>
          <w:rFonts w:ascii="Simplified Arabic" w:hAnsi="Simplified Arabic" w:cs="Simplified Arabic"/>
          <w:sz w:val="32"/>
          <w:szCs w:val="32"/>
          <w:rtl/>
        </w:rPr>
        <w:t>إلا</w:t>
      </w:r>
      <w:proofErr w:type="gramEnd"/>
      <w:r w:rsidRPr="00225798">
        <w:rPr>
          <w:rFonts w:ascii="Simplified Arabic" w:hAnsi="Simplified Arabic" w:cs="Simplified Arabic"/>
          <w:sz w:val="32"/>
          <w:szCs w:val="32"/>
          <w:rtl/>
        </w:rPr>
        <w:t xml:space="preserve"> أنه يجوز حــسب المادة 106 من القانون90/30 منح هذا الحق لفائدة المؤسسات العمومية ذات الطابع الصناعي و التجاري و مراكز البحث و التنمية اعتمادا على المهمة التي تمارسها باعتبارها مرافق عمومية.</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tl/>
        </w:rPr>
      </w:pPr>
      <w:r w:rsidRPr="00225798">
        <w:rPr>
          <w:rFonts w:ascii="Simplified Arabic" w:hAnsi="Simplified Arabic" w:cs="Simplified Arabic"/>
          <w:b/>
          <w:bCs/>
          <w:sz w:val="32"/>
          <w:szCs w:val="32"/>
          <w:u w:val="single"/>
          <w:rtl/>
        </w:rPr>
        <w:t>أولا</w:t>
      </w:r>
      <w:r w:rsidRPr="00225798">
        <w:rPr>
          <w:rFonts w:ascii="Simplified Arabic" w:hAnsi="Simplified Arabic" w:cs="Simplified Arabic"/>
          <w:b/>
          <w:bCs/>
          <w:sz w:val="32"/>
          <w:szCs w:val="32"/>
          <w:rtl/>
        </w:rPr>
        <w:t xml:space="preserve">: أنـواع </w:t>
      </w:r>
      <w:proofErr w:type="gramStart"/>
      <w:r w:rsidRPr="00225798">
        <w:rPr>
          <w:rFonts w:ascii="Simplified Arabic" w:hAnsi="Simplified Arabic" w:cs="Simplified Arabic"/>
          <w:b/>
          <w:bCs/>
          <w:sz w:val="32"/>
          <w:szCs w:val="32"/>
          <w:rtl/>
        </w:rPr>
        <w:t>التخصـيص :</w:t>
      </w:r>
      <w:proofErr w:type="gramEnd"/>
      <w:r w:rsidRPr="00225798">
        <w:rPr>
          <w:rFonts w:ascii="Simplified Arabic" w:hAnsi="Simplified Arabic" w:cs="Simplified Arabic"/>
          <w:b/>
          <w:bCs/>
          <w:sz w:val="32"/>
          <w:szCs w:val="32"/>
          <w:rtl/>
        </w:rPr>
        <w:t xml:space="preserve"> </w:t>
      </w:r>
      <w:r w:rsidRPr="00225798">
        <w:rPr>
          <w:rFonts w:ascii="Simplified Arabic" w:hAnsi="Simplified Arabic" w:cs="Simplified Arabic"/>
          <w:sz w:val="32"/>
          <w:szCs w:val="32"/>
          <w:rtl/>
        </w:rPr>
        <w:t xml:space="preserve">للتخصيص أنواع </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proofErr w:type="gramStart"/>
      <w:r w:rsidRPr="00225798">
        <w:rPr>
          <w:rFonts w:ascii="Simplified Arabic" w:hAnsi="Simplified Arabic" w:cs="Simplified Arabic"/>
          <w:sz w:val="32"/>
          <w:szCs w:val="32"/>
          <w:rtl/>
        </w:rPr>
        <w:t>-  قد</w:t>
      </w:r>
      <w:proofErr w:type="gramEnd"/>
      <w:r w:rsidRPr="00225798">
        <w:rPr>
          <w:rFonts w:ascii="Simplified Arabic" w:hAnsi="Simplified Arabic" w:cs="Simplified Arabic"/>
          <w:sz w:val="32"/>
          <w:szCs w:val="32"/>
          <w:rtl/>
        </w:rPr>
        <w:t xml:space="preserve"> يكون التخصيص إما مجاني أو بالمقابل ، و يكون كذلك أي بالمقابل حينما تكون المصلحة المستفيدة من التخصيص متمتعة بالاستقلال المالي أو بميزانية ملحقة.</w:t>
      </w:r>
    </w:p>
    <w:p w:rsidR="00225798" w:rsidRDefault="00225798" w:rsidP="00225798">
      <w:pPr>
        <w:tabs>
          <w:tab w:val="left" w:pos="71"/>
        </w:tabs>
        <w:bidi/>
        <w:spacing w:line="276" w:lineRule="auto"/>
        <w:jc w:val="both"/>
        <w:rPr>
          <w:rFonts w:ascii="Simplified Arabic" w:hAnsi="Simplified Arabic" w:cs="Simplified Arabic"/>
          <w:sz w:val="32"/>
          <w:szCs w:val="32"/>
        </w:rPr>
      </w:pPr>
      <w:proofErr w:type="gramStart"/>
      <w:r w:rsidRPr="00225798">
        <w:rPr>
          <w:rFonts w:ascii="Simplified Arabic" w:hAnsi="Simplified Arabic" w:cs="Simplified Arabic"/>
          <w:sz w:val="32"/>
          <w:szCs w:val="32"/>
          <w:rtl/>
        </w:rPr>
        <w:t>-  كما</w:t>
      </w:r>
      <w:proofErr w:type="gramEnd"/>
      <w:r w:rsidRPr="00225798">
        <w:rPr>
          <w:rFonts w:ascii="Simplified Arabic" w:hAnsi="Simplified Arabic" w:cs="Simplified Arabic"/>
          <w:sz w:val="32"/>
          <w:szCs w:val="32"/>
          <w:rtl/>
        </w:rPr>
        <w:t xml:space="preserve"> يكون التخصيص مؤقت أو نهائي ، بحيث يكون مؤقتا عندما يتعلق بعقار مخصص أصبح غير ذي فائدة للمصلحة المخصص لها علما أن أي تخصيص مؤقت تفوق مدته  5 سنوات يصبح بقوة القانون نهائي.</w:t>
      </w:r>
    </w:p>
    <w:p w:rsidR="00225798" w:rsidRDefault="00225798" w:rsidP="00225798">
      <w:pPr>
        <w:tabs>
          <w:tab w:val="left" w:pos="71"/>
        </w:tabs>
        <w:bidi/>
        <w:spacing w:line="276" w:lineRule="auto"/>
        <w:jc w:val="both"/>
        <w:rPr>
          <w:rFonts w:ascii="Simplified Arabic" w:hAnsi="Simplified Arabic" w:cs="Simplified Arabic"/>
          <w:sz w:val="32"/>
          <w:szCs w:val="32"/>
        </w:rPr>
      </w:pP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tl/>
        </w:rPr>
      </w:pPr>
      <w:r w:rsidRPr="00225798">
        <w:rPr>
          <w:rFonts w:ascii="Simplified Arabic" w:hAnsi="Simplified Arabic" w:cs="Simplified Arabic"/>
          <w:b/>
          <w:bCs/>
          <w:sz w:val="32"/>
          <w:szCs w:val="32"/>
          <w:u w:val="single"/>
          <w:rtl/>
        </w:rPr>
        <w:lastRenderedPageBreak/>
        <w:t>ثانيا</w:t>
      </w:r>
      <w:r w:rsidRPr="00225798">
        <w:rPr>
          <w:rFonts w:ascii="Simplified Arabic" w:hAnsi="Simplified Arabic" w:cs="Simplified Arabic"/>
          <w:b/>
          <w:bCs/>
          <w:sz w:val="32"/>
          <w:szCs w:val="32"/>
          <w:rtl/>
        </w:rPr>
        <w:t xml:space="preserve">: </w:t>
      </w:r>
      <w:proofErr w:type="gramStart"/>
      <w:r w:rsidRPr="00225798">
        <w:rPr>
          <w:rFonts w:ascii="Simplified Arabic" w:hAnsi="Simplified Arabic" w:cs="Simplified Arabic"/>
          <w:b/>
          <w:bCs/>
          <w:sz w:val="32"/>
          <w:szCs w:val="32"/>
          <w:rtl/>
        </w:rPr>
        <w:t>إلغاء</w:t>
      </w:r>
      <w:proofErr w:type="gramEnd"/>
      <w:r w:rsidRPr="00225798">
        <w:rPr>
          <w:rFonts w:ascii="Simplified Arabic" w:hAnsi="Simplified Arabic" w:cs="Simplified Arabic"/>
          <w:b/>
          <w:bCs/>
          <w:sz w:val="32"/>
          <w:szCs w:val="32"/>
          <w:rtl/>
        </w:rPr>
        <w:t xml:space="preserve"> التخصيص</w:t>
      </w:r>
      <w:r w:rsidRPr="00225798">
        <w:rPr>
          <w:rFonts w:ascii="Simplified Arabic" w:hAnsi="Simplified Arabic" w:cs="Simplified Arabic"/>
          <w:b/>
          <w:bCs/>
          <w:sz w:val="32"/>
          <w:szCs w:val="32"/>
        </w:rPr>
        <w:t xml:space="preserve">La désaffectation </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           إلغاء </w:t>
      </w:r>
      <w:proofErr w:type="gramStart"/>
      <w:r w:rsidRPr="00225798">
        <w:rPr>
          <w:rFonts w:ascii="Simplified Arabic" w:hAnsi="Simplified Arabic" w:cs="Simplified Arabic"/>
          <w:sz w:val="32"/>
          <w:szCs w:val="32"/>
          <w:rtl/>
        </w:rPr>
        <w:t xml:space="preserve">التخصيص </w:t>
      </w:r>
      <w:proofErr w:type="gramEnd"/>
      <w:r w:rsidRPr="00225798">
        <w:rPr>
          <w:rFonts w:ascii="Simplified Arabic" w:hAnsi="Simplified Arabic" w:cs="Simplified Arabic"/>
          <w:sz w:val="32"/>
          <w:szCs w:val="32"/>
          <w:rtl/>
        </w:rPr>
        <w:t>إجراء يثبت بواسطته أنّ ملكا من الأملاك الوطنية الخاصة قد أصبح لا يفيد نهائيا في عمل المؤسسة أو الهيئة التي كان قد خصص لها ، كما يمكن أن يلغى تخصيص ملك ما بقوة القانون إذا لم يستعمل لمدة تزيد عن  5 سنوات. ويصدر إثر ذلك قرار إلغاء التخصيص بذات الأشكال التي تم فيها إصدار قرار التخصيص عملا بقاعدة توازي الأشكال ، و تسلم الأملاك التابعة للأملاك الوطنية الخاصة للإدارة المختصة ( مديرية أملاك الدولة ) أو للجماعات الإقليمية حسب الحالة ، كما تتم معاينة كل ذلك بمحضر حضوري للتسليم من قبل ممثل الهيئة العمومية و ممثل عن المالك.</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u w:val="single"/>
          <w:rtl/>
        </w:rPr>
      </w:pPr>
      <w:r w:rsidRPr="00225798">
        <w:rPr>
          <w:rFonts w:ascii="Simplified Arabic" w:hAnsi="Simplified Arabic" w:cs="Simplified Arabic"/>
          <w:b/>
          <w:bCs/>
          <w:sz w:val="32"/>
          <w:szCs w:val="32"/>
          <w:u w:val="single"/>
          <w:rtl/>
        </w:rPr>
        <w:t>الفرع الثاني</w:t>
      </w:r>
      <w:r w:rsidRPr="00225798">
        <w:rPr>
          <w:rFonts w:ascii="Simplified Arabic" w:hAnsi="Simplified Arabic" w:cs="Simplified Arabic"/>
          <w:b/>
          <w:bCs/>
          <w:sz w:val="32"/>
          <w:szCs w:val="32"/>
          <w:rtl/>
        </w:rPr>
        <w:t xml:space="preserve"> : الـــتـــأجــيـــــر  </w:t>
      </w:r>
      <w:r w:rsidRPr="00225798">
        <w:rPr>
          <w:rFonts w:ascii="Simplified Arabic" w:hAnsi="Simplified Arabic" w:cs="Simplified Arabic"/>
          <w:b/>
          <w:bCs/>
          <w:sz w:val="32"/>
          <w:szCs w:val="32"/>
        </w:rPr>
        <w:t>" La Location "</w:t>
      </w:r>
      <w:r w:rsidRPr="00225798">
        <w:rPr>
          <w:rFonts w:ascii="Simplified Arabic" w:hAnsi="Simplified Arabic" w:cs="Simplified Arabic"/>
          <w:b/>
          <w:bCs/>
          <w:sz w:val="32"/>
          <w:szCs w:val="32"/>
          <w:rtl/>
        </w:rPr>
        <w:t xml:space="preserve"> </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Pr>
        <w:t xml:space="preserve">             </w:t>
      </w:r>
      <w:proofErr w:type="spellStart"/>
      <w:r w:rsidRPr="00225798">
        <w:rPr>
          <w:rFonts w:ascii="Simplified Arabic" w:hAnsi="Simplified Arabic" w:cs="Simplified Arabic"/>
          <w:sz w:val="32"/>
          <w:szCs w:val="32"/>
          <w:rtl/>
        </w:rPr>
        <w:t>تنص</w:t>
      </w:r>
      <w:proofErr w:type="spellEnd"/>
      <w:r w:rsidRPr="00225798">
        <w:rPr>
          <w:rFonts w:ascii="Simplified Arabic" w:hAnsi="Simplified Arabic" w:cs="Simplified Arabic"/>
          <w:sz w:val="32"/>
          <w:szCs w:val="32"/>
          <w:rtl/>
        </w:rPr>
        <w:t xml:space="preserve"> المادة 17 من المرسوم 91/454 على أنه تختص إدارة الأملاك الوطنية وحدها بتأجير العقارات التابعة للأملاك الخاصة بالدولة التي تسيرها مباشرة أو ألغي </w:t>
      </w:r>
      <w:proofErr w:type="gramStart"/>
      <w:r w:rsidRPr="00225798">
        <w:rPr>
          <w:rFonts w:ascii="Simplified Arabic" w:hAnsi="Simplified Arabic" w:cs="Simplified Arabic"/>
          <w:sz w:val="32"/>
          <w:szCs w:val="32"/>
          <w:rtl/>
        </w:rPr>
        <w:t>تخصيصها ،</w:t>
      </w:r>
      <w:proofErr w:type="gramEnd"/>
      <w:r w:rsidRPr="00225798">
        <w:rPr>
          <w:rFonts w:ascii="Simplified Arabic" w:hAnsi="Simplified Arabic" w:cs="Simplified Arabic"/>
          <w:sz w:val="32"/>
          <w:szCs w:val="32"/>
          <w:rtl/>
        </w:rPr>
        <w:t xml:space="preserve"> و تقوم بتحديد الشروط المالية لهذا التأجير.</w:t>
      </w: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كما أن التأجير يكون لمدة تسع سنوات قابلة </w:t>
      </w:r>
      <w:proofErr w:type="gramStart"/>
      <w:r w:rsidRPr="00225798">
        <w:rPr>
          <w:rFonts w:ascii="Simplified Arabic" w:hAnsi="Simplified Arabic" w:cs="Simplified Arabic"/>
          <w:sz w:val="32"/>
          <w:szCs w:val="32"/>
          <w:rtl/>
        </w:rPr>
        <w:t>للتجديد ،</w:t>
      </w:r>
      <w:proofErr w:type="gramEnd"/>
      <w:r w:rsidRPr="00225798">
        <w:rPr>
          <w:rFonts w:ascii="Simplified Arabic" w:hAnsi="Simplified Arabic" w:cs="Simplified Arabic"/>
          <w:sz w:val="32"/>
          <w:szCs w:val="32"/>
          <w:rtl/>
        </w:rPr>
        <w:t xml:space="preserve"> و عن طريق المزاد العلني في غير المحلات ذات الاستعمال السكني وفقاَ لدفتر شروط يوافق عليه بقرار من الوزير المكلف بالمالية</w:t>
      </w:r>
      <w:r w:rsidRPr="00225798">
        <w:rPr>
          <w:rFonts w:ascii="Simplified Arabic" w:hAnsi="Simplified Arabic" w:cs="Simplified Arabic"/>
          <w:sz w:val="32"/>
          <w:szCs w:val="32"/>
        </w:rPr>
        <w:t>.</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u w:val="single"/>
          <w:rtl/>
        </w:rPr>
      </w:pPr>
      <w:r w:rsidRPr="00225798">
        <w:rPr>
          <w:rFonts w:ascii="Simplified Arabic" w:hAnsi="Simplified Arabic" w:cs="Simplified Arabic"/>
          <w:noProof/>
          <w:sz w:val="32"/>
          <w:szCs w:val="32"/>
          <w:rtl/>
        </w:rPr>
        <w:pict>
          <v:rect id="_x0000_s1029" style="position:absolute;left:0;text-align:left;margin-left:9pt;margin-top:6.75pt;width:480pt;height:54pt;z-index:251663360" stroked="f">
            <v:textbox style="mso-next-textbox:#_x0000_s1029">
              <w:txbxContent>
                <w:p w:rsidR="00225798" w:rsidRPr="00225798" w:rsidRDefault="00225798" w:rsidP="00225798">
                  <w:pPr>
                    <w:rPr>
                      <w:szCs w:val="20"/>
                    </w:rPr>
                  </w:pPr>
                </w:p>
              </w:txbxContent>
            </v:textbox>
            <w10:wrap anchorx="page"/>
          </v:rect>
        </w:pic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u w:val="single"/>
          <w:rtl/>
        </w:rPr>
      </w:pP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tl/>
        </w:rPr>
      </w:pPr>
      <w:r w:rsidRPr="00225798">
        <w:rPr>
          <w:rFonts w:ascii="Simplified Arabic" w:hAnsi="Simplified Arabic" w:cs="Simplified Arabic"/>
          <w:b/>
          <w:bCs/>
          <w:sz w:val="32"/>
          <w:szCs w:val="32"/>
          <w:u w:val="single"/>
          <w:rtl/>
        </w:rPr>
        <w:t xml:space="preserve">المطلب </w:t>
      </w:r>
      <w:proofErr w:type="gramStart"/>
      <w:r w:rsidRPr="00225798">
        <w:rPr>
          <w:rFonts w:ascii="Simplified Arabic" w:hAnsi="Simplified Arabic" w:cs="Simplified Arabic"/>
          <w:b/>
          <w:bCs/>
          <w:sz w:val="32"/>
          <w:szCs w:val="32"/>
          <w:u w:val="single"/>
          <w:rtl/>
        </w:rPr>
        <w:t>الثاني</w:t>
      </w:r>
      <w:r w:rsidRPr="00225798">
        <w:rPr>
          <w:rFonts w:ascii="Simplified Arabic" w:hAnsi="Simplified Arabic" w:cs="Simplified Arabic"/>
          <w:b/>
          <w:bCs/>
          <w:sz w:val="32"/>
          <w:szCs w:val="32"/>
          <w:rtl/>
        </w:rPr>
        <w:t xml:space="preserve"> :</w:t>
      </w:r>
      <w:proofErr w:type="gramEnd"/>
      <w:r w:rsidRPr="00225798">
        <w:rPr>
          <w:rFonts w:ascii="Simplified Arabic" w:hAnsi="Simplified Arabic" w:cs="Simplified Arabic"/>
          <w:b/>
          <w:bCs/>
          <w:sz w:val="32"/>
          <w:szCs w:val="32"/>
          <w:rtl/>
        </w:rPr>
        <w:t xml:space="preserve"> الــتــبادل و الــقــســـمـــة  </w:t>
      </w:r>
      <w:r w:rsidRPr="00225798">
        <w:rPr>
          <w:rFonts w:ascii="Simplified Arabic" w:hAnsi="Simplified Arabic" w:cs="Simplified Arabic"/>
          <w:b/>
          <w:bCs/>
          <w:sz w:val="32"/>
          <w:szCs w:val="32"/>
        </w:rPr>
        <w:t>" Echange, Partage "</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Pr>
      </w:pPr>
      <w:r w:rsidRPr="00225798">
        <w:rPr>
          <w:rFonts w:ascii="Simplified Arabic" w:hAnsi="Simplified Arabic" w:cs="Simplified Arabic"/>
          <w:b/>
          <w:bCs/>
          <w:sz w:val="32"/>
          <w:szCs w:val="32"/>
          <w:u w:val="single"/>
          <w:rtl/>
        </w:rPr>
        <w:t xml:space="preserve">الفرع </w:t>
      </w:r>
      <w:proofErr w:type="gramStart"/>
      <w:r w:rsidRPr="00225798">
        <w:rPr>
          <w:rFonts w:ascii="Simplified Arabic" w:hAnsi="Simplified Arabic" w:cs="Simplified Arabic"/>
          <w:b/>
          <w:bCs/>
          <w:sz w:val="32"/>
          <w:szCs w:val="32"/>
          <w:u w:val="single"/>
          <w:rtl/>
        </w:rPr>
        <w:t>الأول</w:t>
      </w:r>
      <w:r w:rsidRPr="00225798">
        <w:rPr>
          <w:rFonts w:ascii="Simplified Arabic" w:hAnsi="Simplified Arabic" w:cs="Simplified Arabic"/>
          <w:b/>
          <w:bCs/>
          <w:sz w:val="32"/>
          <w:szCs w:val="32"/>
          <w:rtl/>
        </w:rPr>
        <w:t xml:space="preserve"> :</w:t>
      </w:r>
      <w:proofErr w:type="gramEnd"/>
      <w:r w:rsidRPr="00225798">
        <w:rPr>
          <w:rFonts w:ascii="Simplified Arabic" w:hAnsi="Simplified Arabic" w:cs="Simplified Arabic"/>
          <w:b/>
          <w:bCs/>
          <w:sz w:val="32"/>
          <w:szCs w:val="32"/>
          <w:rtl/>
        </w:rPr>
        <w:t xml:space="preserve"> التبادل</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b/>
          <w:bCs/>
          <w:sz w:val="32"/>
          <w:szCs w:val="32"/>
        </w:rPr>
        <w:t xml:space="preserve">       </w:t>
      </w:r>
      <w:r w:rsidRPr="00225798">
        <w:rPr>
          <w:rFonts w:ascii="Simplified Arabic" w:hAnsi="Simplified Arabic" w:cs="Simplified Arabic"/>
          <w:sz w:val="32"/>
          <w:szCs w:val="32"/>
          <w:rtl/>
        </w:rPr>
        <w:t xml:space="preserve"> وهو مبادلة أملاك عقارية تابعة للدولة مقابل أملاك عقارية يملكها </w:t>
      </w:r>
      <w:proofErr w:type="gramStart"/>
      <w:r w:rsidRPr="00225798">
        <w:rPr>
          <w:rFonts w:ascii="Simplified Arabic" w:hAnsi="Simplified Arabic" w:cs="Simplified Arabic"/>
          <w:sz w:val="32"/>
          <w:szCs w:val="32"/>
          <w:rtl/>
        </w:rPr>
        <w:t>الخواص ،</w:t>
      </w:r>
      <w:proofErr w:type="gramEnd"/>
      <w:r w:rsidRPr="00225798">
        <w:rPr>
          <w:rFonts w:ascii="Simplified Arabic" w:hAnsi="Simplified Arabic" w:cs="Simplified Arabic"/>
          <w:sz w:val="32"/>
          <w:szCs w:val="32"/>
          <w:rtl/>
        </w:rPr>
        <w:t xml:space="preserve"> و ترسم عملية التبادل بعقد رسمي إداري بعد صدور قرار من الوزير المكلف بالمالية</w:t>
      </w:r>
      <w:r w:rsidRPr="00225798">
        <w:rPr>
          <w:rFonts w:ascii="Simplified Arabic" w:hAnsi="Simplified Arabic" w:cs="Simplified Arabic"/>
          <w:sz w:val="32"/>
          <w:szCs w:val="32"/>
        </w:rPr>
        <w:t xml:space="preserve"> </w:t>
      </w:r>
      <w:r w:rsidRPr="00225798">
        <w:rPr>
          <w:rFonts w:ascii="Simplified Arabic" w:hAnsi="Simplified Arabic" w:cs="Simplified Arabic"/>
          <w:sz w:val="32"/>
          <w:szCs w:val="32"/>
          <w:rtl/>
        </w:rPr>
        <w:t xml:space="preserve">المتضمن الموافقة على التبادل.و قد تم </w:t>
      </w:r>
      <w:proofErr w:type="gramStart"/>
      <w:r w:rsidRPr="00225798">
        <w:rPr>
          <w:rFonts w:ascii="Simplified Arabic" w:hAnsi="Simplified Arabic" w:cs="Simplified Arabic"/>
          <w:sz w:val="32"/>
          <w:szCs w:val="32"/>
          <w:rtl/>
        </w:rPr>
        <w:t>تنظيم</w:t>
      </w:r>
      <w:proofErr w:type="gramEnd"/>
      <w:r w:rsidRPr="00225798">
        <w:rPr>
          <w:rFonts w:ascii="Simplified Arabic" w:hAnsi="Simplified Arabic" w:cs="Simplified Arabic"/>
          <w:sz w:val="32"/>
          <w:szCs w:val="32"/>
          <w:rtl/>
        </w:rPr>
        <w:t xml:space="preserve"> التبادل في المواد 30 إلى 38 من المرسوم التنفيذي 91/454.</w:t>
      </w:r>
    </w:p>
    <w:p w:rsidR="00225798" w:rsidRPr="00225798" w:rsidRDefault="00225798" w:rsidP="00225798">
      <w:pPr>
        <w:tabs>
          <w:tab w:val="left" w:pos="71"/>
        </w:tabs>
        <w:bidi/>
        <w:spacing w:line="276" w:lineRule="auto"/>
        <w:jc w:val="both"/>
        <w:rPr>
          <w:rFonts w:ascii="Simplified Arabic" w:hAnsi="Simplified Arabic" w:cs="Simplified Arabic"/>
          <w:sz w:val="32"/>
          <w:szCs w:val="32"/>
        </w:rPr>
      </w:pPr>
      <w:r w:rsidRPr="00225798">
        <w:rPr>
          <w:rFonts w:ascii="Simplified Arabic" w:hAnsi="Simplified Arabic" w:cs="Simplified Arabic"/>
          <w:sz w:val="32"/>
          <w:szCs w:val="32"/>
          <w:rtl/>
        </w:rPr>
        <w:lastRenderedPageBreak/>
        <w:t xml:space="preserve">     و تتم عملية التبادل إما بمبادرة من المصلحة العمومية أو من طرف صاحب العقار المتبادل معه ضمن الشروط و </w:t>
      </w:r>
      <w:proofErr w:type="gramStart"/>
      <w:r w:rsidRPr="00225798">
        <w:rPr>
          <w:rFonts w:ascii="Simplified Arabic" w:hAnsi="Simplified Arabic" w:cs="Simplified Arabic"/>
          <w:sz w:val="32"/>
          <w:szCs w:val="32"/>
          <w:rtl/>
        </w:rPr>
        <w:t>الأشكال  المنصوص</w:t>
      </w:r>
      <w:proofErr w:type="gramEnd"/>
      <w:r w:rsidRPr="00225798">
        <w:rPr>
          <w:rFonts w:ascii="Simplified Arabic" w:hAnsi="Simplified Arabic" w:cs="Simplified Arabic"/>
          <w:sz w:val="32"/>
          <w:szCs w:val="32"/>
          <w:rtl/>
        </w:rPr>
        <w:t xml:space="preserve"> عليها  في المادة 32 من المرسوم الذكور أعلاه ، و يتم تكريس هذا الإجراء</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إما بعقد إداري تحرره مديرية أملاك الدولة و يوقعه الوالي المختص إقليميا أو بعقد توثيقي يمثل فيه الوزير المكلف بالمالية من طرف مدير أملاك الدولة المختص إقليميا مع دفع معدل فارق القيمة المنصوص عليه في المادة 94 من القانون </w:t>
      </w:r>
      <w:proofErr w:type="gramStart"/>
      <w:r w:rsidRPr="00225798">
        <w:rPr>
          <w:rFonts w:ascii="Simplified Arabic" w:hAnsi="Simplified Arabic" w:cs="Simplified Arabic"/>
          <w:sz w:val="32"/>
          <w:szCs w:val="32"/>
          <w:rtl/>
        </w:rPr>
        <w:t>90/30 .</w:t>
      </w:r>
      <w:proofErr w:type="gramEnd"/>
      <w:r w:rsidRPr="00225798">
        <w:rPr>
          <w:rFonts w:ascii="Simplified Arabic" w:hAnsi="Simplified Arabic" w:cs="Simplified Arabic"/>
          <w:sz w:val="32"/>
          <w:szCs w:val="32"/>
          <w:rtl/>
        </w:rPr>
        <w:t xml:space="preserve"> كما يلتزم مالك العقار المتبادل معه أن يثبت خلو العقار من كل التسجيلات الرهنية أو شطبها إن كان مثقلا بها و ذلك قبل تحرير عقد المبادلة الذي يخضع لإجراءات التسجيل و الشهر .</w:t>
      </w:r>
    </w:p>
    <w:p w:rsidR="00225798" w:rsidRPr="00225798" w:rsidRDefault="00225798" w:rsidP="00225798">
      <w:pPr>
        <w:tabs>
          <w:tab w:val="left" w:pos="71"/>
        </w:tabs>
        <w:bidi/>
        <w:spacing w:line="276" w:lineRule="auto"/>
        <w:jc w:val="both"/>
        <w:rPr>
          <w:rFonts w:ascii="Simplified Arabic" w:hAnsi="Simplified Arabic" w:cs="Simplified Arabic"/>
          <w:b/>
          <w:bCs/>
          <w:sz w:val="32"/>
          <w:szCs w:val="32"/>
          <w:rtl/>
        </w:rPr>
      </w:pPr>
      <w:r w:rsidRPr="00225798">
        <w:rPr>
          <w:rFonts w:ascii="Simplified Arabic" w:hAnsi="Simplified Arabic" w:cs="Simplified Arabic"/>
          <w:b/>
          <w:bCs/>
          <w:sz w:val="32"/>
          <w:szCs w:val="32"/>
          <w:u w:val="single"/>
          <w:rtl/>
        </w:rPr>
        <w:t xml:space="preserve">الفرع </w:t>
      </w:r>
      <w:proofErr w:type="gramStart"/>
      <w:r w:rsidRPr="00225798">
        <w:rPr>
          <w:rFonts w:ascii="Simplified Arabic" w:hAnsi="Simplified Arabic" w:cs="Simplified Arabic"/>
          <w:b/>
          <w:bCs/>
          <w:sz w:val="32"/>
          <w:szCs w:val="32"/>
          <w:u w:val="single"/>
          <w:rtl/>
        </w:rPr>
        <w:t>الثاني</w:t>
      </w:r>
      <w:r w:rsidRPr="00225798">
        <w:rPr>
          <w:rFonts w:ascii="Simplified Arabic" w:hAnsi="Simplified Arabic" w:cs="Simplified Arabic"/>
          <w:b/>
          <w:bCs/>
          <w:sz w:val="32"/>
          <w:szCs w:val="32"/>
          <w:rtl/>
        </w:rPr>
        <w:t xml:space="preserve"> :</w:t>
      </w:r>
      <w:proofErr w:type="gramEnd"/>
      <w:r w:rsidRPr="00225798">
        <w:rPr>
          <w:rFonts w:ascii="Simplified Arabic" w:hAnsi="Simplified Arabic" w:cs="Simplified Arabic"/>
          <w:b/>
          <w:bCs/>
          <w:sz w:val="32"/>
          <w:szCs w:val="32"/>
          <w:rtl/>
        </w:rPr>
        <w:t xml:space="preserve"> القسمة</w:t>
      </w:r>
    </w:p>
    <w:p w:rsidR="00225798" w:rsidRPr="00225798" w:rsidRDefault="00225798" w:rsidP="00225798">
      <w:pPr>
        <w:bidi/>
        <w:spacing w:line="276" w:lineRule="auto"/>
        <w:ind w:left="23"/>
        <w:jc w:val="both"/>
        <w:rPr>
          <w:rFonts w:ascii="Simplified Arabic" w:hAnsi="Simplified Arabic" w:cs="Simplified Arabic"/>
          <w:sz w:val="32"/>
          <w:szCs w:val="32"/>
        </w:rPr>
      </w:pPr>
      <w:r w:rsidRPr="00225798">
        <w:rPr>
          <w:rFonts w:ascii="Simplified Arabic" w:hAnsi="Simplified Arabic" w:cs="Simplified Arabic"/>
          <w:sz w:val="32"/>
          <w:szCs w:val="32"/>
          <w:rtl/>
        </w:rPr>
        <w:t xml:space="preserve">وهي تهدف إلى تقسيم العقارات التي تكون ملكيتها مشاعة بين الدولة و غيرها ، متى كان ذلك ممكنا  فتخرج حصــة الــدولة بعـد فـرزها ، ثم يتم إقـرار إمـا بيـعها للشركاء في الشيوع أو عن طريق المزاد العلني حسب الحالة. ( </w:t>
      </w:r>
      <w:proofErr w:type="gramStart"/>
      <w:r w:rsidRPr="00225798">
        <w:rPr>
          <w:rFonts w:ascii="Simplified Arabic" w:hAnsi="Simplified Arabic" w:cs="Simplified Arabic"/>
          <w:sz w:val="32"/>
          <w:szCs w:val="32"/>
          <w:rtl/>
        </w:rPr>
        <w:t>أنظر</w:t>
      </w:r>
      <w:proofErr w:type="gramEnd"/>
      <w:r w:rsidRPr="00225798">
        <w:rPr>
          <w:rFonts w:ascii="Simplified Arabic" w:hAnsi="Simplified Arabic" w:cs="Simplified Arabic"/>
          <w:sz w:val="32"/>
          <w:szCs w:val="32"/>
          <w:rtl/>
        </w:rPr>
        <w:t xml:space="preserve"> المادة 40 من المرسوم التنفيذي رقم:91/454 )</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         و من شروط الق</w:t>
      </w:r>
      <w:proofErr w:type="gramStart"/>
      <w:r w:rsidRPr="00225798">
        <w:rPr>
          <w:rFonts w:ascii="Simplified Arabic" w:hAnsi="Simplified Arabic" w:cs="Simplified Arabic"/>
          <w:sz w:val="32"/>
          <w:szCs w:val="32"/>
          <w:rtl/>
        </w:rPr>
        <w:t>سمة التي</w:t>
      </w:r>
      <w:proofErr w:type="gramEnd"/>
      <w:r w:rsidRPr="00225798">
        <w:rPr>
          <w:rFonts w:ascii="Simplified Arabic" w:hAnsi="Simplified Arabic" w:cs="Simplified Arabic"/>
          <w:sz w:val="32"/>
          <w:szCs w:val="32"/>
          <w:rtl/>
        </w:rPr>
        <w:t xml:space="preserve"> نصت المواد 39 إلى 44 من المرسوم التنفيذي 91/454 أن لا يطرح ذلك إشكالا و أن لا يؤثر ذلك على البنية المعمارية للعقارات المبنية. أما عن عملية القسمة ،فقد تكون بالطريق الودي أو عن طريق القضاء. إذ يجوز للمالكين في الشيوع مع الدولة تقديم الطلب إلى الوالي المختص إقليميا  إذا رغبوا بالقسمة الودية أو رفع دعوى قضائية أمام الجهة المختصة طبقا لأحكام القانون المدني.</w:t>
      </w:r>
    </w:p>
    <w:p w:rsidR="00225798" w:rsidRPr="00225798" w:rsidRDefault="00225798" w:rsidP="00225798">
      <w:pPr>
        <w:tabs>
          <w:tab w:val="left" w:pos="71"/>
        </w:tabs>
        <w:bidi/>
        <w:spacing w:line="276" w:lineRule="auto"/>
        <w:jc w:val="both"/>
        <w:rPr>
          <w:rFonts w:ascii="Simplified Arabic" w:hAnsi="Simplified Arabic" w:cs="Simplified Arabic"/>
          <w:sz w:val="32"/>
          <w:szCs w:val="32"/>
          <w:rtl/>
        </w:rPr>
      </w:pPr>
      <w:r w:rsidRPr="00225798">
        <w:rPr>
          <w:rFonts w:ascii="Simplified Arabic" w:hAnsi="Simplified Arabic" w:cs="Simplified Arabic"/>
          <w:sz w:val="32"/>
          <w:szCs w:val="32"/>
          <w:rtl/>
        </w:rPr>
        <w:t xml:space="preserve">         إذا تمت القسمة وديا بين الدولة و المالكين معها في الشيوع ، فان التنازل عن الحصة العائدة للدولة قد تكون بالتراضي </w:t>
      </w:r>
      <w:proofErr w:type="spellStart"/>
      <w:r w:rsidRPr="00225798">
        <w:rPr>
          <w:rFonts w:ascii="Simplified Arabic" w:hAnsi="Simplified Arabic" w:cs="Simplified Arabic"/>
          <w:sz w:val="32"/>
          <w:szCs w:val="32"/>
          <w:rtl/>
        </w:rPr>
        <w:t>أوعن</w:t>
      </w:r>
      <w:proofErr w:type="spellEnd"/>
      <w:r w:rsidRPr="00225798">
        <w:rPr>
          <w:rFonts w:ascii="Simplified Arabic" w:hAnsi="Simplified Arabic" w:cs="Simplified Arabic"/>
          <w:sz w:val="32"/>
          <w:szCs w:val="32"/>
          <w:rtl/>
        </w:rPr>
        <w:t xml:space="preserve"> طريق الدعوى للمنافسة.</w:t>
      </w:r>
    </w:p>
    <w:p w:rsidR="007517F7" w:rsidRPr="00225798" w:rsidRDefault="007517F7" w:rsidP="009A7E03">
      <w:pPr>
        <w:tabs>
          <w:tab w:val="left" w:pos="71"/>
        </w:tabs>
        <w:bidi/>
        <w:spacing w:line="276" w:lineRule="auto"/>
        <w:jc w:val="both"/>
        <w:rPr>
          <w:rFonts w:ascii="Simplified Arabic" w:hAnsi="Simplified Arabic" w:cs="Simplified Arabic"/>
          <w:sz w:val="32"/>
          <w:szCs w:val="32"/>
        </w:rPr>
      </w:pPr>
    </w:p>
    <w:sectPr w:rsidR="007517F7" w:rsidRPr="00225798"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17285"/>
    <w:multiLevelType w:val="hybridMultilevel"/>
    <w:tmpl w:val="F4C4882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4541E86"/>
    <w:multiLevelType w:val="hybridMultilevel"/>
    <w:tmpl w:val="EE46A0F0"/>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798"/>
    <w:rsid w:val="00225798"/>
    <w:rsid w:val="007128AC"/>
    <w:rsid w:val="007517F7"/>
    <w:rsid w:val="00923602"/>
    <w:rsid w:val="009A7E03"/>
    <w:rsid w:val="00C42CFD"/>
    <w:rsid w:val="00F24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897</Words>
  <Characters>4936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2021-02-09T22:53:00Z</dcterms:created>
  <dcterms:modified xsi:type="dcterms:W3CDTF">2021-02-09T23:45:00Z</dcterms:modified>
</cp:coreProperties>
</file>