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0B7" w:rsidRPr="00C542A5" w:rsidRDefault="009901CF" w:rsidP="002E7AC6">
      <w:pPr>
        <w:spacing w:before="240"/>
        <w:jc w:val="center"/>
        <w:rPr>
          <w:b/>
          <w:bCs/>
          <w:sz w:val="30"/>
          <w:szCs w:val="30"/>
          <w:rtl/>
          <w:lang w:bidi="ar-DZ"/>
        </w:rPr>
      </w:pPr>
      <w:bookmarkStart w:id="0" w:name="_GoBack"/>
      <w:bookmarkEnd w:id="0"/>
      <w:r w:rsidRPr="00C542A5">
        <w:rPr>
          <w:rFonts w:hint="cs"/>
          <w:b/>
          <w:bCs/>
          <w:sz w:val="30"/>
          <w:szCs w:val="30"/>
          <w:rtl/>
          <w:lang w:bidi="ar-DZ"/>
        </w:rPr>
        <w:t>المحاضرة السابعة بعنوان:</w:t>
      </w:r>
    </w:p>
    <w:p w:rsidR="009901CF" w:rsidRPr="00F27930" w:rsidRDefault="009901CF" w:rsidP="002E7AC6">
      <w:pPr>
        <w:spacing w:before="240"/>
        <w:jc w:val="center"/>
        <w:rPr>
          <w:b/>
          <w:bCs/>
          <w:sz w:val="32"/>
          <w:szCs w:val="32"/>
          <w:rtl/>
          <w:lang w:bidi="ar-DZ"/>
        </w:rPr>
      </w:pPr>
      <w:r w:rsidRPr="00F27930">
        <w:rPr>
          <w:rFonts w:hint="cs"/>
          <w:b/>
          <w:bCs/>
          <w:sz w:val="32"/>
          <w:szCs w:val="32"/>
          <w:rtl/>
          <w:lang w:bidi="ar-DZ"/>
        </w:rPr>
        <w:t>اختصاص القضاء الاستعجالي بموجب نصوص خاصة</w:t>
      </w:r>
    </w:p>
    <w:p w:rsidR="009901CF" w:rsidRPr="00C542A5" w:rsidRDefault="009901CF" w:rsidP="002E7AC6">
      <w:pPr>
        <w:bidi/>
        <w:spacing w:before="240"/>
        <w:rPr>
          <w:b/>
          <w:bCs/>
          <w:sz w:val="30"/>
          <w:szCs w:val="30"/>
          <w:rtl/>
          <w:lang w:bidi="ar-DZ"/>
        </w:rPr>
      </w:pPr>
    </w:p>
    <w:p w:rsidR="00382473" w:rsidRPr="00C542A5" w:rsidRDefault="009901CF" w:rsidP="002E7AC6">
      <w:pPr>
        <w:bidi/>
        <w:spacing w:before="240"/>
        <w:jc w:val="both"/>
        <w:rPr>
          <w:sz w:val="30"/>
          <w:szCs w:val="30"/>
          <w:rtl/>
          <w:lang w:bidi="ar-DZ"/>
        </w:rPr>
      </w:pPr>
      <w:r w:rsidRPr="00C542A5">
        <w:rPr>
          <w:rFonts w:hint="cs"/>
          <w:sz w:val="30"/>
          <w:szCs w:val="30"/>
          <w:rtl/>
          <w:lang w:bidi="ar-DZ"/>
        </w:rPr>
        <w:t xml:space="preserve">    </w:t>
      </w:r>
      <w:r w:rsidR="00815000" w:rsidRPr="00C542A5">
        <w:rPr>
          <w:rFonts w:hint="cs"/>
          <w:sz w:val="30"/>
          <w:szCs w:val="30"/>
          <w:rtl/>
          <w:lang w:bidi="ar-DZ"/>
        </w:rPr>
        <w:t xml:space="preserve"> </w:t>
      </w:r>
      <w:r w:rsidRPr="00C542A5">
        <w:rPr>
          <w:rFonts w:hint="cs"/>
          <w:sz w:val="30"/>
          <w:szCs w:val="30"/>
          <w:rtl/>
          <w:lang w:bidi="ar-DZ"/>
        </w:rPr>
        <w:t>لم</w:t>
      </w:r>
      <w:r w:rsidR="00815000" w:rsidRPr="00C542A5">
        <w:rPr>
          <w:rFonts w:hint="cs"/>
          <w:sz w:val="30"/>
          <w:szCs w:val="30"/>
          <w:rtl/>
          <w:lang w:bidi="ar-DZ"/>
        </w:rPr>
        <w:t xml:space="preserve"> يكتف المشرع الجزائري بحصر وتنظيم اختصاص القضاء الاستعجالي في ق إ م </w:t>
      </w:r>
      <w:proofErr w:type="spellStart"/>
      <w:r w:rsidR="00815000" w:rsidRPr="00C542A5">
        <w:rPr>
          <w:rFonts w:hint="cs"/>
          <w:sz w:val="30"/>
          <w:szCs w:val="30"/>
          <w:rtl/>
          <w:lang w:bidi="ar-DZ"/>
        </w:rPr>
        <w:t>وإ</w:t>
      </w:r>
      <w:proofErr w:type="spellEnd"/>
      <w:r w:rsidR="00815000" w:rsidRPr="00C542A5">
        <w:rPr>
          <w:rFonts w:hint="cs"/>
          <w:sz w:val="30"/>
          <w:szCs w:val="30"/>
          <w:rtl/>
          <w:lang w:bidi="ar-DZ"/>
        </w:rPr>
        <w:t xml:space="preserve">، وإنما مد ذلك حتى إلى قوانين تنظم موضوعات متخصصة، وقد أشار إلى بعض منها في ق إ م </w:t>
      </w:r>
      <w:proofErr w:type="spellStart"/>
      <w:r w:rsidR="00815000" w:rsidRPr="00C542A5">
        <w:rPr>
          <w:rFonts w:hint="cs"/>
          <w:sz w:val="30"/>
          <w:szCs w:val="30"/>
          <w:rtl/>
          <w:lang w:bidi="ar-DZ"/>
        </w:rPr>
        <w:t>وإ</w:t>
      </w:r>
      <w:proofErr w:type="spellEnd"/>
      <w:r w:rsidR="00815000" w:rsidRPr="00C542A5">
        <w:rPr>
          <w:rFonts w:hint="cs"/>
          <w:sz w:val="30"/>
          <w:szCs w:val="30"/>
          <w:rtl/>
          <w:lang w:bidi="ar-DZ"/>
        </w:rPr>
        <w:t xml:space="preserve"> على غرار ما سبق بيانه في مجال استعجال التسبيق المالي، واستعجال ما قبل التعاقد والاستعجال في المادة الجبائية، غير أن بعض النصوص احتفظت بالإشارة إلى اختصاص القضاء الاستعجالي في أحكامها </w:t>
      </w:r>
      <w:r w:rsidR="00C35A7E" w:rsidRPr="00C542A5">
        <w:rPr>
          <w:rFonts w:hint="cs"/>
          <w:sz w:val="30"/>
          <w:szCs w:val="30"/>
          <w:rtl/>
          <w:lang w:bidi="ar-DZ"/>
        </w:rPr>
        <w:t>ومن ذلك نجد</w:t>
      </w:r>
      <w:r w:rsidR="00382473" w:rsidRPr="00C542A5">
        <w:rPr>
          <w:rFonts w:hint="cs"/>
          <w:sz w:val="30"/>
          <w:szCs w:val="30"/>
          <w:rtl/>
          <w:lang w:bidi="ar-DZ"/>
        </w:rPr>
        <w:t>:</w:t>
      </w:r>
    </w:p>
    <w:p w:rsidR="002E7AC6" w:rsidRPr="00C542A5" w:rsidRDefault="00501215" w:rsidP="002E7AC6">
      <w:pPr>
        <w:bidi/>
        <w:spacing w:before="240"/>
        <w:jc w:val="both"/>
        <w:rPr>
          <w:sz w:val="30"/>
          <w:szCs w:val="30"/>
          <w:rtl/>
          <w:lang w:bidi="ar-DZ"/>
        </w:rPr>
      </w:pPr>
      <w:r w:rsidRPr="00C542A5">
        <w:rPr>
          <w:rFonts w:hint="cs"/>
          <w:b/>
          <w:bCs/>
          <w:sz w:val="30"/>
          <w:szCs w:val="30"/>
          <w:rtl/>
          <w:lang w:bidi="ar-DZ"/>
        </w:rPr>
        <w:t xml:space="preserve">     </w:t>
      </w:r>
      <w:r w:rsidR="00382473" w:rsidRPr="00C542A5">
        <w:rPr>
          <w:rFonts w:hint="cs"/>
          <w:b/>
          <w:bCs/>
          <w:sz w:val="30"/>
          <w:szCs w:val="30"/>
          <w:rtl/>
          <w:lang w:bidi="ar-DZ"/>
        </w:rPr>
        <w:t>أولا-</w:t>
      </w:r>
      <w:r w:rsidR="00BB5B6B" w:rsidRPr="00C542A5">
        <w:rPr>
          <w:rFonts w:hint="cs"/>
          <w:b/>
          <w:bCs/>
          <w:sz w:val="30"/>
          <w:szCs w:val="30"/>
          <w:rtl/>
          <w:lang w:bidi="ar-DZ"/>
        </w:rPr>
        <w:t>ال</w:t>
      </w:r>
      <w:r w:rsidR="00815000" w:rsidRPr="00C542A5">
        <w:rPr>
          <w:rFonts w:hint="cs"/>
          <w:b/>
          <w:bCs/>
          <w:sz w:val="30"/>
          <w:szCs w:val="30"/>
          <w:rtl/>
          <w:lang w:bidi="ar-DZ"/>
        </w:rPr>
        <w:t>قانون</w:t>
      </w:r>
      <w:r w:rsidR="00BB5B6B" w:rsidRPr="00C542A5">
        <w:rPr>
          <w:rFonts w:hint="cs"/>
          <w:b/>
          <w:bCs/>
          <w:sz w:val="30"/>
          <w:szCs w:val="30"/>
          <w:rtl/>
          <w:lang w:bidi="ar-DZ"/>
        </w:rPr>
        <w:t xml:space="preserve"> 08/11المتعلق بشروط دخول الأجانب إلى الجزائر وإقامتهم بها وتنقلهم فيها</w:t>
      </w:r>
      <w:r w:rsidR="00BB5B6B" w:rsidRPr="00C542A5">
        <w:rPr>
          <w:rStyle w:val="Appelnotedebasdep"/>
          <w:b/>
          <w:bCs/>
          <w:sz w:val="30"/>
          <w:szCs w:val="30"/>
          <w:rtl/>
          <w:lang w:bidi="ar-DZ"/>
        </w:rPr>
        <w:footnoteReference w:id="1"/>
      </w:r>
      <w:r w:rsidR="00382473" w:rsidRPr="00C542A5">
        <w:rPr>
          <w:rFonts w:hint="cs"/>
          <w:b/>
          <w:bCs/>
          <w:sz w:val="30"/>
          <w:szCs w:val="30"/>
          <w:rtl/>
          <w:lang w:bidi="ar-DZ"/>
        </w:rPr>
        <w:t>:</w:t>
      </w:r>
      <w:r w:rsidR="00382473" w:rsidRPr="00C542A5">
        <w:rPr>
          <w:rFonts w:hint="cs"/>
          <w:sz w:val="30"/>
          <w:szCs w:val="30"/>
          <w:rtl/>
          <w:lang w:bidi="ar-DZ"/>
        </w:rPr>
        <w:t xml:space="preserve"> </w:t>
      </w:r>
    </w:p>
    <w:p w:rsidR="009901CF" w:rsidRPr="00C542A5" w:rsidRDefault="002E7AC6" w:rsidP="002E7AC6">
      <w:pPr>
        <w:bidi/>
        <w:spacing w:before="240"/>
        <w:jc w:val="both"/>
        <w:rPr>
          <w:sz w:val="30"/>
          <w:szCs w:val="30"/>
          <w:rtl/>
          <w:lang w:bidi="ar-DZ"/>
        </w:rPr>
      </w:pPr>
      <w:r w:rsidRPr="00C542A5">
        <w:rPr>
          <w:rFonts w:hint="cs"/>
          <w:sz w:val="30"/>
          <w:szCs w:val="30"/>
          <w:rtl/>
          <w:lang w:bidi="ar-DZ"/>
        </w:rPr>
        <w:t xml:space="preserve">     </w:t>
      </w:r>
      <w:r w:rsidR="00382473" w:rsidRPr="00C542A5">
        <w:rPr>
          <w:rFonts w:hint="cs"/>
          <w:sz w:val="30"/>
          <w:szCs w:val="30"/>
          <w:rtl/>
          <w:lang w:bidi="ar-DZ"/>
        </w:rPr>
        <w:t xml:space="preserve">بالنظر إلى أن الموضوع يتعلق بموضوع الضبط الإداري الذي تتولاه الدولة </w:t>
      </w:r>
      <w:r w:rsidR="00F329AF" w:rsidRPr="00C542A5">
        <w:rPr>
          <w:rFonts w:hint="cs"/>
          <w:sz w:val="30"/>
          <w:szCs w:val="30"/>
          <w:rtl/>
          <w:lang w:bidi="ar-DZ"/>
        </w:rPr>
        <w:t>حفاظا على نظامها العام، لذلك تتولى وضع الأج</w:t>
      </w:r>
      <w:r w:rsidR="00382473" w:rsidRPr="00C542A5">
        <w:rPr>
          <w:rFonts w:hint="cs"/>
          <w:sz w:val="30"/>
          <w:szCs w:val="30"/>
          <w:rtl/>
          <w:lang w:bidi="ar-DZ"/>
        </w:rPr>
        <w:t xml:space="preserve">انب </w:t>
      </w:r>
      <w:r w:rsidR="00F329AF" w:rsidRPr="00C542A5">
        <w:rPr>
          <w:rFonts w:hint="cs"/>
          <w:sz w:val="30"/>
          <w:szCs w:val="30"/>
          <w:rtl/>
          <w:lang w:bidi="ar-DZ"/>
        </w:rPr>
        <w:t>في تنظيم قانوني يحكم دخولهم و خروج</w:t>
      </w:r>
      <w:r w:rsidR="00D72B1C" w:rsidRPr="00C542A5">
        <w:rPr>
          <w:rFonts w:hint="cs"/>
          <w:sz w:val="30"/>
          <w:szCs w:val="30"/>
          <w:rtl/>
          <w:lang w:bidi="ar-DZ"/>
        </w:rPr>
        <w:t>هم</w:t>
      </w:r>
      <w:r w:rsidR="00F329AF" w:rsidRPr="00C542A5">
        <w:rPr>
          <w:rFonts w:hint="cs"/>
          <w:sz w:val="30"/>
          <w:szCs w:val="30"/>
          <w:rtl/>
          <w:lang w:bidi="ar-DZ"/>
        </w:rPr>
        <w:t xml:space="preserve"> من الدولة و شروط الإقامة فيها، و إن مخالفة هذه الأحكام التنظيمية تعرض الأجنبي إلى جزاءات أ</w:t>
      </w:r>
      <w:r w:rsidR="00D72B1C" w:rsidRPr="00C542A5">
        <w:rPr>
          <w:rFonts w:hint="cs"/>
          <w:sz w:val="30"/>
          <w:szCs w:val="30"/>
          <w:rtl/>
          <w:lang w:bidi="ar-DZ"/>
        </w:rPr>
        <w:t>ق</w:t>
      </w:r>
      <w:r w:rsidR="00F329AF" w:rsidRPr="00C542A5">
        <w:rPr>
          <w:rFonts w:hint="cs"/>
          <w:sz w:val="30"/>
          <w:szCs w:val="30"/>
          <w:rtl/>
          <w:lang w:bidi="ar-DZ"/>
        </w:rPr>
        <w:t>صاها صدور</w:t>
      </w:r>
      <w:r w:rsidR="00D72B1C" w:rsidRPr="00C542A5">
        <w:rPr>
          <w:rFonts w:hint="cs"/>
          <w:sz w:val="30"/>
          <w:szCs w:val="30"/>
          <w:rtl/>
          <w:lang w:bidi="ar-DZ"/>
        </w:rPr>
        <w:t xml:space="preserve"> قرار</w:t>
      </w:r>
      <w:r w:rsidR="00F329AF" w:rsidRPr="00C542A5">
        <w:rPr>
          <w:rFonts w:hint="cs"/>
          <w:sz w:val="30"/>
          <w:szCs w:val="30"/>
          <w:rtl/>
          <w:lang w:bidi="ar-DZ"/>
        </w:rPr>
        <w:t xml:space="preserve"> بالإبعاد عن وزير الداخلية، بعد تبليغ الأجنبي المعني يمنحه القانون</w:t>
      </w:r>
      <w:r w:rsidR="00D72B1C" w:rsidRPr="00C542A5">
        <w:rPr>
          <w:rFonts w:hint="cs"/>
          <w:sz w:val="30"/>
          <w:szCs w:val="30"/>
          <w:rtl/>
          <w:lang w:bidi="ar-DZ"/>
        </w:rPr>
        <w:t xml:space="preserve"> </w:t>
      </w:r>
      <w:r w:rsidR="00F329AF" w:rsidRPr="00C542A5">
        <w:rPr>
          <w:rFonts w:hint="cs"/>
          <w:sz w:val="30"/>
          <w:szCs w:val="30"/>
          <w:rtl/>
          <w:lang w:bidi="ar-DZ"/>
        </w:rPr>
        <w:t>آجالا للطعن في قرار الإبعاد أمام القاضي الاستعجا</w:t>
      </w:r>
      <w:r w:rsidR="00A521C7" w:rsidRPr="00C542A5">
        <w:rPr>
          <w:rFonts w:hint="cs"/>
          <w:sz w:val="30"/>
          <w:szCs w:val="30"/>
          <w:rtl/>
          <w:lang w:bidi="ar-DZ"/>
        </w:rPr>
        <w:t>لي المختص في المواد الإدارية الذي ي</w:t>
      </w:r>
      <w:r w:rsidR="00D72B1C" w:rsidRPr="00C542A5">
        <w:rPr>
          <w:rFonts w:hint="cs"/>
          <w:sz w:val="30"/>
          <w:szCs w:val="30"/>
          <w:rtl/>
          <w:lang w:bidi="ar-DZ"/>
        </w:rPr>
        <w:t>ف</w:t>
      </w:r>
      <w:r w:rsidR="00A521C7" w:rsidRPr="00C542A5">
        <w:rPr>
          <w:rFonts w:hint="cs"/>
          <w:sz w:val="30"/>
          <w:szCs w:val="30"/>
          <w:rtl/>
          <w:lang w:bidi="ar-DZ"/>
        </w:rPr>
        <w:t>صل في الدعوى في أجل أقصاه عشرون يوم</w:t>
      </w:r>
      <w:r w:rsidR="00D72B1C" w:rsidRPr="00C542A5">
        <w:rPr>
          <w:rFonts w:hint="cs"/>
          <w:sz w:val="30"/>
          <w:szCs w:val="30"/>
          <w:rtl/>
          <w:lang w:bidi="ar-DZ"/>
        </w:rPr>
        <w:t xml:space="preserve">ا </w:t>
      </w:r>
      <w:r w:rsidR="00A521C7" w:rsidRPr="00C542A5">
        <w:rPr>
          <w:rFonts w:hint="cs"/>
          <w:sz w:val="30"/>
          <w:szCs w:val="30"/>
          <w:rtl/>
          <w:lang w:bidi="ar-DZ"/>
        </w:rPr>
        <w:t>(20)</w:t>
      </w:r>
      <w:r w:rsidR="00D72B1C" w:rsidRPr="00C542A5">
        <w:rPr>
          <w:rFonts w:hint="cs"/>
          <w:sz w:val="30"/>
          <w:szCs w:val="30"/>
          <w:rtl/>
          <w:lang w:bidi="ar-DZ"/>
        </w:rPr>
        <w:t xml:space="preserve"> من تاريخ تسجيل الطعن، و يكون لهذا الطعن أثر موقف.</w:t>
      </w:r>
      <w:r w:rsidR="00D72B1C" w:rsidRPr="00C542A5">
        <w:rPr>
          <w:rStyle w:val="Appelnotedebasdep"/>
          <w:sz w:val="30"/>
          <w:szCs w:val="30"/>
          <w:rtl/>
          <w:lang w:bidi="ar-DZ"/>
        </w:rPr>
        <w:footnoteReference w:id="2"/>
      </w:r>
      <w:r w:rsidR="00F329AF" w:rsidRPr="00C542A5">
        <w:rPr>
          <w:rFonts w:hint="cs"/>
          <w:sz w:val="30"/>
          <w:szCs w:val="30"/>
          <w:rtl/>
          <w:lang w:bidi="ar-DZ"/>
        </w:rPr>
        <w:t xml:space="preserve">  </w:t>
      </w:r>
    </w:p>
    <w:p w:rsidR="00501215" w:rsidRPr="00C542A5" w:rsidRDefault="00501215" w:rsidP="002E7AC6">
      <w:pPr>
        <w:bidi/>
        <w:spacing w:before="240"/>
        <w:jc w:val="both"/>
        <w:rPr>
          <w:sz w:val="30"/>
          <w:szCs w:val="30"/>
          <w:rtl/>
          <w:lang w:bidi="ar-DZ"/>
        </w:rPr>
      </w:pPr>
      <w:r w:rsidRPr="00C542A5">
        <w:rPr>
          <w:rFonts w:hint="cs"/>
          <w:sz w:val="30"/>
          <w:szCs w:val="30"/>
          <w:rtl/>
          <w:lang w:bidi="ar-DZ"/>
        </w:rPr>
        <w:t xml:space="preserve">   وبما أن القرار صادر عن سلطة مركزية تتمثل في وزير الداخلية باعتباره ممثلا للدولة فإن الاختصاص ينعقد لمجلس الدولة.</w:t>
      </w:r>
      <w:r w:rsidR="00C137A4" w:rsidRPr="00C542A5">
        <w:rPr>
          <w:rStyle w:val="Appelnotedebasdep"/>
          <w:sz w:val="30"/>
          <w:szCs w:val="30"/>
          <w:rtl/>
          <w:lang w:bidi="ar-DZ"/>
        </w:rPr>
        <w:footnoteReference w:id="3"/>
      </w:r>
    </w:p>
    <w:p w:rsidR="00501215" w:rsidRPr="00C542A5" w:rsidRDefault="00501215" w:rsidP="002E7AC6">
      <w:pPr>
        <w:bidi/>
        <w:spacing w:before="240"/>
        <w:jc w:val="both"/>
        <w:rPr>
          <w:sz w:val="30"/>
          <w:szCs w:val="30"/>
          <w:rtl/>
          <w:lang w:bidi="ar-DZ"/>
        </w:rPr>
      </w:pPr>
      <w:r w:rsidRPr="00C542A5">
        <w:rPr>
          <w:rFonts w:hint="cs"/>
          <w:sz w:val="30"/>
          <w:szCs w:val="30"/>
          <w:rtl/>
          <w:lang w:bidi="ar-DZ"/>
        </w:rPr>
        <w:lastRenderedPageBreak/>
        <w:t xml:space="preserve">   ومن حيث السلطات الممنوحة لقاضي الاستعجال في هذه الحالة نجد أنها سلطة كاملة بإلغاء القرار المطعون فيه، وإن كان من النادر أن يلغي القاضي الإداري قرار</w:t>
      </w:r>
      <w:r w:rsidR="00C137A4" w:rsidRPr="00C542A5">
        <w:rPr>
          <w:rFonts w:hint="cs"/>
          <w:sz w:val="30"/>
          <w:szCs w:val="30"/>
          <w:rtl/>
          <w:lang w:bidi="ar-DZ"/>
        </w:rPr>
        <w:t>ا</w:t>
      </w:r>
      <w:r w:rsidRPr="00C542A5">
        <w:rPr>
          <w:rFonts w:hint="cs"/>
          <w:sz w:val="30"/>
          <w:szCs w:val="30"/>
          <w:rtl/>
          <w:lang w:bidi="ar-DZ"/>
        </w:rPr>
        <w:t xml:space="preserve"> بالطرد إ</w:t>
      </w:r>
      <w:r w:rsidR="00C137A4" w:rsidRPr="00C542A5">
        <w:rPr>
          <w:rFonts w:hint="cs"/>
          <w:sz w:val="30"/>
          <w:szCs w:val="30"/>
          <w:rtl/>
          <w:lang w:bidi="ar-DZ"/>
        </w:rPr>
        <w:t>ذ</w:t>
      </w:r>
      <w:r w:rsidRPr="00C542A5">
        <w:rPr>
          <w:rFonts w:hint="cs"/>
          <w:sz w:val="30"/>
          <w:szCs w:val="30"/>
          <w:rtl/>
          <w:lang w:bidi="ar-DZ"/>
        </w:rPr>
        <w:t>ا تعلق بدواعي الحفاظ على النظام.</w:t>
      </w:r>
    </w:p>
    <w:p w:rsidR="00501215" w:rsidRPr="00C542A5" w:rsidRDefault="00501215" w:rsidP="002E7AC6">
      <w:pPr>
        <w:bidi/>
        <w:spacing w:before="240"/>
        <w:jc w:val="both"/>
        <w:rPr>
          <w:sz w:val="30"/>
          <w:szCs w:val="30"/>
          <w:rtl/>
          <w:lang w:bidi="ar-DZ"/>
        </w:rPr>
      </w:pPr>
      <w:r w:rsidRPr="00C542A5">
        <w:rPr>
          <w:rFonts w:hint="cs"/>
          <w:sz w:val="30"/>
          <w:szCs w:val="30"/>
          <w:rtl/>
          <w:lang w:bidi="ar-DZ"/>
        </w:rPr>
        <w:t xml:space="preserve"> </w:t>
      </w:r>
      <w:r w:rsidR="00C137A4" w:rsidRPr="00C542A5">
        <w:rPr>
          <w:rFonts w:hint="cs"/>
          <w:sz w:val="30"/>
          <w:szCs w:val="30"/>
          <w:rtl/>
          <w:lang w:bidi="ar-DZ"/>
        </w:rPr>
        <w:t xml:space="preserve">  </w:t>
      </w:r>
      <w:r w:rsidRPr="00C542A5">
        <w:rPr>
          <w:rFonts w:hint="cs"/>
          <w:sz w:val="30"/>
          <w:szCs w:val="30"/>
          <w:rtl/>
          <w:lang w:bidi="ar-DZ"/>
        </w:rPr>
        <w:t xml:space="preserve">  زيادة على ذلك يملك الأجنبي محل قرار الطرد أن يطلب وقف تنفيذ قرار الطرد مؤقتا أمام القاضي الاستعجالي، في حالة الضرورة القصوى وخاصة عندما يكون الأجنبي أبا أو أما لطفل جزائري</w:t>
      </w:r>
      <w:r w:rsidR="00C137A4" w:rsidRPr="00C542A5">
        <w:rPr>
          <w:rFonts w:hint="cs"/>
          <w:sz w:val="30"/>
          <w:szCs w:val="30"/>
          <w:rtl/>
          <w:lang w:bidi="ar-DZ"/>
        </w:rPr>
        <w:t xml:space="preserve"> </w:t>
      </w:r>
      <w:r w:rsidRPr="00C542A5">
        <w:rPr>
          <w:rFonts w:hint="cs"/>
          <w:sz w:val="30"/>
          <w:szCs w:val="30"/>
          <w:rtl/>
          <w:lang w:bidi="ar-DZ"/>
        </w:rPr>
        <w:t>قاصر مقيم في الجزائر وأثبت أنه يساهم في رعاية وتربية هذا الطفل، أو يكون الأجنبي المبعد قاصرا عند اتخاذ قرار ال</w:t>
      </w:r>
      <w:r w:rsidR="00C137A4" w:rsidRPr="00C542A5">
        <w:rPr>
          <w:rFonts w:hint="cs"/>
          <w:sz w:val="30"/>
          <w:szCs w:val="30"/>
          <w:rtl/>
          <w:lang w:bidi="ar-DZ"/>
        </w:rPr>
        <w:t>إ</w:t>
      </w:r>
      <w:r w:rsidRPr="00C542A5">
        <w:rPr>
          <w:rFonts w:hint="cs"/>
          <w:sz w:val="30"/>
          <w:szCs w:val="30"/>
          <w:rtl/>
          <w:lang w:bidi="ar-DZ"/>
        </w:rPr>
        <w:t>بعاد</w:t>
      </w:r>
      <w:r w:rsidR="00C137A4" w:rsidRPr="00C542A5">
        <w:rPr>
          <w:rFonts w:hint="cs"/>
          <w:sz w:val="30"/>
          <w:szCs w:val="30"/>
          <w:rtl/>
          <w:lang w:bidi="ar-DZ"/>
        </w:rPr>
        <w:t>،</w:t>
      </w:r>
      <w:r w:rsidRPr="00C542A5">
        <w:rPr>
          <w:rFonts w:hint="cs"/>
          <w:sz w:val="30"/>
          <w:szCs w:val="30"/>
          <w:rtl/>
          <w:lang w:bidi="ar-DZ"/>
        </w:rPr>
        <w:t xml:space="preserve"> أو </w:t>
      </w:r>
      <w:r w:rsidR="00C137A4" w:rsidRPr="00C542A5">
        <w:rPr>
          <w:rFonts w:hint="cs"/>
          <w:sz w:val="30"/>
          <w:szCs w:val="30"/>
          <w:rtl/>
          <w:lang w:bidi="ar-DZ"/>
        </w:rPr>
        <w:t xml:space="preserve">يكون </w:t>
      </w:r>
      <w:r w:rsidRPr="00C542A5">
        <w:rPr>
          <w:rFonts w:hint="cs"/>
          <w:sz w:val="30"/>
          <w:szCs w:val="30"/>
          <w:rtl/>
          <w:lang w:bidi="ar-DZ"/>
        </w:rPr>
        <w:t>يتيم</w:t>
      </w:r>
      <w:r w:rsidR="00C137A4" w:rsidRPr="00C542A5">
        <w:rPr>
          <w:rFonts w:hint="cs"/>
          <w:sz w:val="30"/>
          <w:szCs w:val="30"/>
          <w:rtl/>
          <w:lang w:bidi="ar-DZ"/>
        </w:rPr>
        <w:t>ا</w:t>
      </w:r>
      <w:r w:rsidRPr="00C542A5">
        <w:rPr>
          <w:rFonts w:hint="cs"/>
          <w:sz w:val="30"/>
          <w:szCs w:val="30"/>
          <w:rtl/>
          <w:lang w:bidi="ar-DZ"/>
        </w:rPr>
        <w:t xml:space="preserve"> وقاصر</w:t>
      </w:r>
      <w:r w:rsidR="00C137A4" w:rsidRPr="00C542A5">
        <w:rPr>
          <w:rFonts w:hint="cs"/>
          <w:sz w:val="30"/>
          <w:szCs w:val="30"/>
          <w:rtl/>
          <w:lang w:bidi="ar-DZ"/>
        </w:rPr>
        <w:t>ا</w:t>
      </w:r>
      <w:r w:rsidRPr="00C542A5">
        <w:rPr>
          <w:rFonts w:hint="cs"/>
          <w:sz w:val="30"/>
          <w:szCs w:val="30"/>
          <w:rtl/>
          <w:lang w:bidi="ar-DZ"/>
        </w:rPr>
        <w:t xml:space="preserve"> و</w:t>
      </w:r>
      <w:r w:rsidR="00C137A4" w:rsidRPr="00C542A5">
        <w:rPr>
          <w:rFonts w:hint="cs"/>
          <w:sz w:val="30"/>
          <w:szCs w:val="30"/>
          <w:rtl/>
          <w:lang w:bidi="ar-DZ"/>
        </w:rPr>
        <w:t>كذلك</w:t>
      </w:r>
      <w:r w:rsidRPr="00C542A5">
        <w:rPr>
          <w:rFonts w:hint="cs"/>
          <w:sz w:val="30"/>
          <w:szCs w:val="30"/>
          <w:rtl/>
          <w:lang w:bidi="ar-DZ"/>
        </w:rPr>
        <w:t xml:space="preserve"> المرأة ال</w:t>
      </w:r>
      <w:r w:rsidR="00C137A4" w:rsidRPr="00C542A5">
        <w:rPr>
          <w:rFonts w:hint="cs"/>
          <w:sz w:val="30"/>
          <w:szCs w:val="30"/>
          <w:rtl/>
          <w:lang w:bidi="ar-DZ"/>
        </w:rPr>
        <w:t>ح</w:t>
      </w:r>
      <w:r w:rsidRPr="00C542A5">
        <w:rPr>
          <w:rFonts w:hint="cs"/>
          <w:sz w:val="30"/>
          <w:szCs w:val="30"/>
          <w:rtl/>
          <w:lang w:bidi="ar-DZ"/>
        </w:rPr>
        <w:t>امل عند صدور قرار الإبعاد</w:t>
      </w:r>
      <w:r w:rsidR="00C137A4" w:rsidRPr="00C542A5">
        <w:rPr>
          <w:rFonts w:hint="cs"/>
          <w:sz w:val="30"/>
          <w:szCs w:val="30"/>
          <w:rtl/>
          <w:lang w:bidi="ar-DZ"/>
        </w:rPr>
        <w:t>.</w:t>
      </w:r>
      <w:r w:rsidR="00C137A4" w:rsidRPr="00C542A5">
        <w:rPr>
          <w:rStyle w:val="Appelnotedebasdep"/>
          <w:sz w:val="30"/>
          <w:szCs w:val="30"/>
          <w:rtl/>
          <w:lang w:bidi="ar-DZ"/>
        </w:rPr>
        <w:footnoteReference w:id="4"/>
      </w:r>
      <w:r w:rsidRPr="00C542A5">
        <w:rPr>
          <w:rFonts w:hint="cs"/>
          <w:sz w:val="30"/>
          <w:szCs w:val="30"/>
          <w:rtl/>
          <w:lang w:bidi="ar-DZ"/>
        </w:rPr>
        <w:t xml:space="preserve"> </w:t>
      </w:r>
    </w:p>
    <w:p w:rsidR="00C137A4" w:rsidRPr="00C542A5" w:rsidRDefault="00C137A4" w:rsidP="002E7AC6">
      <w:pPr>
        <w:bidi/>
        <w:spacing w:before="240"/>
        <w:jc w:val="both"/>
        <w:rPr>
          <w:sz w:val="30"/>
          <w:szCs w:val="30"/>
          <w:rtl/>
          <w:lang w:bidi="ar-DZ"/>
        </w:rPr>
      </w:pPr>
      <w:r w:rsidRPr="00C542A5">
        <w:rPr>
          <w:rFonts w:hint="cs"/>
          <w:sz w:val="30"/>
          <w:szCs w:val="30"/>
          <w:rtl/>
          <w:lang w:bidi="ar-DZ"/>
        </w:rPr>
        <w:t xml:space="preserve">     يطرح التساؤل لماذا اللجوء إلى وقف تنفيذ قرار الإبعاد مؤقتا طالما أن للطعن أثر موقف بنص القانون؟ إن الجواب المنطقي من نص القانون أن للأجنبي محل القرار الخيار في أن يطلب الإلغاء إذا توفرت له الأوجه القانونية، أما إذا لم يوفق لذلك فيمكنه اللجوء إلى رفع دعوى وقف تنفيذ دون رفع دعوى في الموضوع ربحا للوقت وليتدبر أموره في هذه الفترة </w:t>
      </w:r>
      <w:r w:rsidR="001F7A5F" w:rsidRPr="00C542A5">
        <w:rPr>
          <w:rFonts w:hint="cs"/>
          <w:sz w:val="30"/>
          <w:szCs w:val="30"/>
          <w:rtl/>
          <w:lang w:bidi="ar-DZ"/>
        </w:rPr>
        <w:t>ق</w:t>
      </w:r>
      <w:r w:rsidRPr="00C542A5">
        <w:rPr>
          <w:rFonts w:hint="cs"/>
          <w:sz w:val="30"/>
          <w:szCs w:val="30"/>
          <w:rtl/>
          <w:lang w:bidi="ar-DZ"/>
        </w:rPr>
        <w:t xml:space="preserve">بل </w:t>
      </w:r>
      <w:r w:rsidR="001F7A5F" w:rsidRPr="00C542A5">
        <w:rPr>
          <w:rFonts w:hint="cs"/>
          <w:sz w:val="30"/>
          <w:szCs w:val="30"/>
          <w:rtl/>
          <w:lang w:bidi="ar-DZ"/>
        </w:rPr>
        <w:t>تنفيذ</w:t>
      </w:r>
      <w:r w:rsidRPr="00C542A5">
        <w:rPr>
          <w:rFonts w:hint="cs"/>
          <w:sz w:val="30"/>
          <w:szCs w:val="30"/>
          <w:rtl/>
          <w:lang w:bidi="ar-DZ"/>
        </w:rPr>
        <w:t xml:space="preserve"> قرار الإبعاد</w:t>
      </w:r>
      <w:r w:rsidR="001F7A5F" w:rsidRPr="00C542A5">
        <w:rPr>
          <w:rFonts w:hint="cs"/>
          <w:sz w:val="30"/>
          <w:szCs w:val="30"/>
          <w:rtl/>
          <w:lang w:bidi="ar-DZ"/>
        </w:rPr>
        <w:t>.</w:t>
      </w:r>
    </w:p>
    <w:p w:rsidR="001F7A5F" w:rsidRPr="00C542A5" w:rsidRDefault="001F7A5F" w:rsidP="002E7AC6">
      <w:pPr>
        <w:bidi/>
        <w:spacing w:before="240"/>
        <w:jc w:val="both"/>
        <w:rPr>
          <w:sz w:val="30"/>
          <w:szCs w:val="30"/>
          <w:rtl/>
          <w:lang w:bidi="ar-DZ"/>
        </w:rPr>
      </w:pPr>
      <w:r w:rsidRPr="00C542A5">
        <w:rPr>
          <w:rFonts w:hint="cs"/>
          <w:sz w:val="30"/>
          <w:szCs w:val="30"/>
          <w:rtl/>
          <w:lang w:bidi="ar-DZ"/>
        </w:rPr>
        <w:t xml:space="preserve">  وفي هذه الحالة لا يحكم القاضي الإداري الاستعجالي إلا بما طلبه الأجنبي في الدعوى.</w:t>
      </w:r>
    </w:p>
    <w:p w:rsidR="002E7AC6" w:rsidRPr="00C542A5" w:rsidRDefault="006D321D" w:rsidP="002E7AC6">
      <w:pPr>
        <w:bidi/>
        <w:spacing w:before="240"/>
        <w:jc w:val="both"/>
        <w:rPr>
          <w:sz w:val="30"/>
          <w:szCs w:val="30"/>
          <w:rtl/>
          <w:lang w:bidi="ar-DZ"/>
        </w:rPr>
      </w:pPr>
      <w:r w:rsidRPr="00C542A5">
        <w:rPr>
          <w:rFonts w:hint="cs"/>
          <w:b/>
          <w:bCs/>
          <w:sz w:val="30"/>
          <w:szCs w:val="30"/>
          <w:rtl/>
          <w:lang w:bidi="ar-DZ"/>
        </w:rPr>
        <w:t xml:space="preserve">      </w:t>
      </w:r>
      <w:r w:rsidR="001F7A5F" w:rsidRPr="00C542A5">
        <w:rPr>
          <w:rFonts w:hint="cs"/>
          <w:b/>
          <w:bCs/>
          <w:sz w:val="30"/>
          <w:szCs w:val="30"/>
          <w:rtl/>
          <w:lang w:bidi="ar-DZ"/>
        </w:rPr>
        <w:t>ثانيا-القانون العضوي 12/04 المتعلق بالأحزاب السياسية</w:t>
      </w:r>
      <w:r w:rsidR="001F7A5F" w:rsidRPr="00C542A5">
        <w:rPr>
          <w:rStyle w:val="Appelnotedebasdep"/>
          <w:sz w:val="30"/>
          <w:szCs w:val="30"/>
          <w:rtl/>
          <w:lang w:bidi="ar-DZ"/>
        </w:rPr>
        <w:footnoteReference w:id="5"/>
      </w:r>
      <w:r w:rsidR="001F7A5F" w:rsidRPr="00C542A5">
        <w:rPr>
          <w:rFonts w:hint="cs"/>
          <w:sz w:val="30"/>
          <w:szCs w:val="30"/>
          <w:rtl/>
          <w:lang w:bidi="ar-DZ"/>
        </w:rPr>
        <w:t xml:space="preserve">: </w:t>
      </w:r>
    </w:p>
    <w:p w:rsidR="001F7A5F" w:rsidRPr="00C542A5" w:rsidRDefault="002E7AC6" w:rsidP="002E7AC6">
      <w:pPr>
        <w:bidi/>
        <w:spacing w:before="240"/>
        <w:jc w:val="both"/>
        <w:rPr>
          <w:sz w:val="30"/>
          <w:szCs w:val="30"/>
          <w:rtl/>
          <w:lang w:bidi="ar-DZ"/>
        </w:rPr>
      </w:pPr>
      <w:r w:rsidRPr="00C542A5">
        <w:rPr>
          <w:rFonts w:hint="cs"/>
          <w:sz w:val="30"/>
          <w:szCs w:val="30"/>
          <w:rtl/>
          <w:lang w:bidi="ar-DZ"/>
        </w:rPr>
        <w:t xml:space="preserve">     </w:t>
      </w:r>
      <w:r w:rsidR="001F7A5F" w:rsidRPr="00C542A5">
        <w:rPr>
          <w:rFonts w:hint="cs"/>
          <w:sz w:val="30"/>
          <w:szCs w:val="30"/>
          <w:rtl/>
          <w:lang w:bidi="ar-DZ"/>
        </w:rPr>
        <w:t>بالرغم من أن موضوع الأحزاب السياسية من المو</w:t>
      </w:r>
      <w:r w:rsidR="006D321D" w:rsidRPr="00C542A5">
        <w:rPr>
          <w:rFonts w:hint="cs"/>
          <w:sz w:val="30"/>
          <w:szCs w:val="30"/>
          <w:rtl/>
          <w:lang w:bidi="ar-DZ"/>
        </w:rPr>
        <w:t>ا</w:t>
      </w:r>
      <w:r w:rsidR="001F7A5F" w:rsidRPr="00C542A5">
        <w:rPr>
          <w:rFonts w:hint="cs"/>
          <w:sz w:val="30"/>
          <w:szCs w:val="30"/>
          <w:rtl/>
          <w:lang w:bidi="ar-DZ"/>
        </w:rPr>
        <w:t>ضيع الحساسة</w:t>
      </w:r>
      <w:r w:rsidR="006D321D" w:rsidRPr="00C542A5">
        <w:rPr>
          <w:rFonts w:hint="cs"/>
          <w:sz w:val="30"/>
          <w:szCs w:val="30"/>
          <w:rtl/>
          <w:lang w:bidi="ar-DZ"/>
        </w:rPr>
        <w:t>،</w:t>
      </w:r>
      <w:r w:rsidR="001F7A5F" w:rsidRPr="00C542A5">
        <w:rPr>
          <w:rFonts w:hint="cs"/>
          <w:sz w:val="30"/>
          <w:szCs w:val="30"/>
          <w:rtl/>
          <w:lang w:bidi="ar-DZ"/>
        </w:rPr>
        <w:t xml:space="preserve"> والتي تت</w:t>
      </w:r>
      <w:r w:rsidR="006D321D" w:rsidRPr="00C542A5">
        <w:rPr>
          <w:rFonts w:hint="cs"/>
          <w:sz w:val="30"/>
          <w:szCs w:val="30"/>
          <w:rtl/>
          <w:lang w:bidi="ar-DZ"/>
        </w:rPr>
        <w:t>ع</w:t>
      </w:r>
      <w:r w:rsidR="001F7A5F" w:rsidRPr="00C542A5">
        <w:rPr>
          <w:rFonts w:hint="cs"/>
          <w:sz w:val="30"/>
          <w:szCs w:val="30"/>
          <w:rtl/>
          <w:lang w:bidi="ar-DZ"/>
        </w:rPr>
        <w:t>لق بممارسة حق سياسي يتمثل في المشاركة في الحياة السياسية سواء في السلطة أو كمعارضة</w:t>
      </w:r>
      <w:r w:rsidR="006D321D" w:rsidRPr="00C542A5">
        <w:rPr>
          <w:rFonts w:hint="cs"/>
          <w:sz w:val="30"/>
          <w:szCs w:val="30"/>
          <w:rtl/>
          <w:lang w:bidi="ar-DZ"/>
        </w:rPr>
        <w:t>،</w:t>
      </w:r>
      <w:r w:rsidR="001F7A5F" w:rsidRPr="00C542A5">
        <w:rPr>
          <w:rFonts w:hint="cs"/>
          <w:sz w:val="30"/>
          <w:szCs w:val="30"/>
          <w:rtl/>
          <w:lang w:bidi="ar-DZ"/>
        </w:rPr>
        <w:t xml:space="preserve"> وعلى ذلك خصه </w:t>
      </w:r>
      <w:r w:rsidR="00F50465" w:rsidRPr="00C542A5">
        <w:rPr>
          <w:rFonts w:hint="cs"/>
          <w:sz w:val="30"/>
          <w:szCs w:val="30"/>
          <w:rtl/>
          <w:lang w:bidi="ar-DZ"/>
        </w:rPr>
        <w:t xml:space="preserve">المشرع </w:t>
      </w:r>
      <w:r w:rsidR="006D321D" w:rsidRPr="00C542A5">
        <w:rPr>
          <w:rFonts w:hint="cs"/>
          <w:sz w:val="30"/>
          <w:szCs w:val="30"/>
          <w:rtl/>
          <w:lang w:bidi="ar-DZ"/>
        </w:rPr>
        <w:t>با</w:t>
      </w:r>
      <w:r w:rsidR="00F50465" w:rsidRPr="00C542A5">
        <w:rPr>
          <w:rFonts w:hint="cs"/>
          <w:sz w:val="30"/>
          <w:szCs w:val="30"/>
          <w:rtl/>
          <w:lang w:bidi="ar-DZ"/>
        </w:rPr>
        <w:t>ختصاص القضاء الإداري.</w:t>
      </w:r>
    </w:p>
    <w:p w:rsidR="00F50465" w:rsidRPr="00C542A5" w:rsidRDefault="006D321D" w:rsidP="002E7AC6">
      <w:pPr>
        <w:bidi/>
        <w:spacing w:before="240"/>
        <w:jc w:val="both"/>
        <w:rPr>
          <w:sz w:val="30"/>
          <w:szCs w:val="30"/>
          <w:rtl/>
          <w:lang w:bidi="ar-DZ"/>
        </w:rPr>
      </w:pPr>
      <w:r w:rsidRPr="00C542A5">
        <w:rPr>
          <w:rFonts w:hint="cs"/>
          <w:sz w:val="30"/>
          <w:szCs w:val="30"/>
          <w:rtl/>
          <w:lang w:bidi="ar-DZ"/>
        </w:rPr>
        <w:t xml:space="preserve">     </w:t>
      </w:r>
      <w:r w:rsidR="00F50465" w:rsidRPr="00C542A5">
        <w:rPr>
          <w:rFonts w:hint="cs"/>
          <w:sz w:val="30"/>
          <w:szCs w:val="30"/>
          <w:rtl/>
          <w:lang w:bidi="ar-DZ"/>
        </w:rPr>
        <w:t>تستتبع حيا</w:t>
      </w:r>
      <w:r w:rsidRPr="00C542A5">
        <w:rPr>
          <w:rFonts w:hint="cs"/>
          <w:sz w:val="30"/>
          <w:szCs w:val="30"/>
          <w:rtl/>
          <w:lang w:bidi="ar-DZ"/>
        </w:rPr>
        <w:t>ة</w:t>
      </w:r>
      <w:r w:rsidR="00F50465" w:rsidRPr="00C542A5">
        <w:rPr>
          <w:rFonts w:hint="cs"/>
          <w:sz w:val="30"/>
          <w:szCs w:val="30"/>
          <w:rtl/>
          <w:lang w:bidi="ar-DZ"/>
        </w:rPr>
        <w:t xml:space="preserve"> الحزب السياسي صدور عدة قرارات إدارية بشأنها</w:t>
      </w:r>
      <w:r w:rsidRPr="00C542A5">
        <w:rPr>
          <w:rFonts w:hint="cs"/>
          <w:sz w:val="30"/>
          <w:szCs w:val="30"/>
          <w:rtl/>
          <w:lang w:bidi="ar-DZ"/>
        </w:rPr>
        <w:t>،</w:t>
      </w:r>
      <w:r w:rsidR="00F50465" w:rsidRPr="00C542A5">
        <w:rPr>
          <w:rFonts w:hint="cs"/>
          <w:sz w:val="30"/>
          <w:szCs w:val="30"/>
          <w:rtl/>
          <w:lang w:bidi="ar-DZ"/>
        </w:rPr>
        <w:t xml:space="preserve"> بدءا من قرار منح الت</w:t>
      </w:r>
      <w:r w:rsidRPr="00C542A5">
        <w:rPr>
          <w:rFonts w:hint="cs"/>
          <w:sz w:val="30"/>
          <w:szCs w:val="30"/>
          <w:rtl/>
          <w:lang w:bidi="ar-DZ"/>
        </w:rPr>
        <w:t>رخ</w:t>
      </w:r>
      <w:r w:rsidR="00F50465" w:rsidRPr="00C542A5">
        <w:rPr>
          <w:rFonts w:hint="cs"/>
          <w:sz w:val="30"/>
          <w:szCs w:val="30"/>
          <w:rtl/>
          <w:lang w:bidi="ar-DZ"/>
        </w:rPr>
        <w:t>يص لعقد المؤتمر التأسيسي وصولا إلى قرار منح الاعتماد وممارسة نشاطه</w:t>
      </w:r>
      <w:r w:rsidRPr="00C542A5">
        <w:rPr>
          <w:rFonts w:hint="cs"/>
          <w:sz w:val="30"/>
          <w:szCs w:val="30"/>
          <w:rtl/>
          <w:lang w:bidi="ar-DZ"/>
        </w:rPr>
        <w:t>،</w:t>
      </w:r>
      <w:r w:rsidR="00F50465" w:rsidRPr="00C542A5">
        <w:rPr>
          <w:rFonts w:hint="cs"/>
          <w:sz w:val="30"/>
          <w:szCs w:val="30"/>
          <w:rtl/>
          <w:lang w:bidi="ar-DZ"/>
        </w:rPr>
        <w:t xml:space="preserve"> وفي حال إخلاله </w:t>
      </w:r>
      <w:r w:rsidR="00F50465" w:rsidRPr="00C542A5">
        <w:rPr>
          <w:rFonts w:hint="cs"/>
          <w:sz w:val="30"/>
          <w:szCs w:val="30"/>
          <w:rtl/>
          <w:lang w:bidi="ar-DZ"/>
        </w:rPr>
        <w:lastRenderedPageBreak/>
        <w:t>با</w:t>
      </w:r>
      <w:r w:rsidRPr="00C542A5">
        <w:rPr>
          <w:rFonts w:hint="cs"/>
          <w:sz w:val="30"/>
          <w:szCs w:val="30"/>
          <w:rtl/>
          <w:lang w:bidi="ar-DZ"/>
        </w:rPr>
        <w:t>ل</w:t>
      </w:r>
      <w:r w:rsidR="00F50465" w:rsidRPr="00C542A5">
        <w:rPr>
          <w:rFonts w:hint="cs"/>
          <w:sz w:val="30"/>
          <w:szCs w:val="30"/>
          <w:rtl/>
          <w:lang w:bidi="ar-DZ"/>
        </w:rPr>
        <w:t>تز</w:t>
      </w:r>
      <w:r w:rsidRPr="00C542A5">
        <w:rPr>
          <w:rFonts w:hint="cs"/>
          <w:sz w:val="30"/>
          <w:szCs w:val="30"/>
          <w:rtl/>
          <w:lang w:bidi="ar-DZ"/>
        </w:rPr>
        <w:t>ا</w:t>
      </w:r>
      <w:r w:rsidR="00F50465" w:rsidRPr="00C542A5">
        <w:rPr>
          <w:rFonts w:hint="cs"/>
          <w:sz w:val="30"/>
          <w:szCs w:val="30"/>
          <w:rtl/>
          <w:lang w:bidi="ar-DZ"/>
        </w:rPr>
        <w:t>ماته القانونية يتعرض لقرار التوق</w:t>
      </w:r>
      <w:r w:rsidRPr="00C542A5">
        <w:rPr>
          <w:rFonts w:hint="cs"/>
          <w:sz w:val="30"/>
          <w:szCs w:val="30"/>
          <w:rtl/>
          <w:lang w:bidi="ar-DZ"/>
        </w:rPr>
        <w:t>ي</w:t>
      </w:r>
      <w:r w:rsidR="00F50465" w:rsidRPr="00C542A5">
        <w:rPr>
          <w:rFonts w:hint="cs"/>
          <w:sz w:val="30"/>
          <w:szCs w:val="30"/>
          <w:rtl/>
          <w:lang w:bidi="ar-DZ"/>
        </w:rPr>
        <w:t xml:space="preserve">ف </w:t>
      </w:r>
      <w:proofErr w:type="spellStart"/>
      <w:r w:rsidR="00F50465" w:rsidRPr="00C542A5">
        <w:rPr>
          <w:rFonts w:hint="cs"/>
          <w:sz w:val="30"/>
          <w:szCs w:val="30"/>
          <w:rtl/>
          <w:lang w:bidi="ar-DZ"/>
        </w:rPr>
        <w:t>وأخطرها</w:t>
      </w:r>
      <w:proofErr w:type="spellEnd"/>
      <w:r w:rsidR="00F50465" w:rsidRPr="00C542A5">
        <w:rPr>
          <w:rFonts w:hint="cs"/>
          <w:sz w:val="30"/>
          <w:szCs w:val="30"/>
          <w:rtl/>
          <w:lang w:bidi="ar-DZ"/>
        </w:rPr>
        <w:t xml:space="preserve"> قرار الحل، كل هذه القرارا</w:t>
      </w:r>
      <w:r w:rsidRPr="00C542A5">
        <w:rPr>
          <w:rFonts w:hint="cs"/>
          <w:sz w:val="30"/>
          <w:szCs w:val="30"/>
          <w:rtl/>
          <w:lang w:bidi="ar-DZ"/>
        </w:rPr>
        <w:t xml:space="preserve">ت </w:t>
      </w:r>
      <w:r w:rsidR="00F50465" w:rsidRPr="00C542A5">
        <w:rPr>
          <w:rFonts w:hint="cs"/>
          <w:sz w:val="30"/>
          <w:szCs w:val="30"/>
          <w:rtl/>
          <w:lang w:bidi="ar-DZ"/>
        </w:rPr>
        <w:t>قابلة للطعن فيها أمام مجلس الدولة.</w:t>
      </w:r>
    </w:p>
    <w:p w:rsidR="00F50465" w:rsidRPr="00C542A5" w:rsidRDefault="00F50465" w:rsidP="002E7AC6">
      <w:pPr>
        <w:bidi/>
        <w:spacing w:before="240"/>
        <w:jc w:val="both"/>
        <w:rPr>
          <w:sz w:val="30"/>
          <w:szCs w:val="30"/>
          <w:rtl/>
          <w:lang w:bidi="ar-DZ"/>
        </w:rPr>
      </w:pPr>
      <w:r w:rsidRPr="00C542A5">
        <w:rPr>
          <w:rFonts w:hint="cs"/>
          <w:sz w:val="30"/>
          <w:szCs w:val="30"/>
          <w:rtl/>
          <w:lang w:bidi="ar-DZ"/>
        </w:rPr>
        <w:t xml:space="preserve">  </w:t>
      </w:r>
      <w:r w:rsidR="006D321D" w:rsidRPr="00C542A5">
        <w:rPr>
          <w:rFonts w:hint="cs"/>
          <w:sz w:val="30"/>
          <w:szCs w:val="30"/>
          <w:rtl/>
          <w:lang w:bidi="ar-DZ"/>
        </w:rPr>
        <w:t xml:space="preserve"> </w:t>
      </w:r>
      <w:r w:rsidRPr="00C542A5">
        <w:rPr>
          <w:rFonts w:hint="cs"/>
          <w:sz w:val="30"/>
          <w:szCs w:val="30"/>
          <w:rtl/>
          <w:lang w:bidi="ar-DZ"/>
        </w:rPr>
        <w:t xml:space="preserve"> الحالة الوحيد التي أشار فيها قانون الأحزاب السياسية إلى اختصاص القاضي الإداري الاستعجالي تتعلق بحالة لجوء الإدارة</w:t>
      </w:r>
      <w:r w:rsidR="006D321D" w:rsidRPr="00C542A5">
        <w:rPr>
          <w:rFonts w:hint="cs"/>
          <w:sz w:val="30"/>
          <w:szCs w:val="30"/>
          <w:rtl/>
          <w:lang w:bidi="ar-DZ"/>
        </w:rPr>
        <w:t xml:space="preserve"> ممثلة في وزير الداخلية إلى حل الحزب السياسي أمام مجلس الدولة ، حيث يمكن لوزير الداخلية في حالة الاستعجال، و قبل الفصل في الدعوى القضائية المرفوعة ، اتخاذ جميع التدابير التحفظية الضرورية لتجنب أو مواجهة أو إيقاف وضعيات الاستعجال و خرق القوانين المعمول بها، و في هذه الحالة يمكن للحزب السياسي المعني تقديم طعن أمام مجلس الدولة الفاصل في القضايا الاستعجالية لإلغاء الإجراء التحفظي المقرر، و لا يوقف إيداع هذا الطعن تنفيذ القرار.</w:t>
      </w:r>
      <w:r w:rsidR="006D321D" w:rsidRPr="00C542A5">
        <w:rPr>
          <w:rStyle w:val="Appelnotedebasdep"/>
          <w:sz w:val="30"/>
          <w:szCs w:val="30"/>
          <w:rtl/>
          <w:lang w:bidi="ar-DZ"/>
        </w:rPr>
        <w:footnoteReference w:id="6"/>
      </w:r>
    </w:p>
    <w:p w:rsidR="006D321D" w:rsidRPr="00C542A5" w:rsidRDefault="006D321D" w:rsidP="002E7AC6">
      <w:pPr>
        <w:bidi/>
        <w:spacing w:before="240"/>
        <w:jc w:val="both"/>
        <w:rPr>
          <w:sz w:val="30"/>
          <w:szCs w:val="30"/>
          <w:lang w:bidi="ar-DZ"/>
        </w:rPr>
      </w:pPr>
      <w:r w:rsidRPr="00C542A5">
        <w:rPr>
          <w:rFonts w:hint="cs"/>
          <w:sz w:val="30"/>
          <w:szCs w:val="30"/>
          <w:rtl/>
          <w:lang w:bidi="ar-DZ"/>
        </w:rPr>
        <w:t xml:space="preserve">   </w:t>
      </w:r>
      <w:r w:rsidR="00C542A5" w:rsidRPr="00C542A5">
        <w:rPr>
          <w:rFonts w:hint="cs"/>
          <w:sz w:val="30"/>
          <w:szCs w:val="30"/>
          <w:rtl/>
          <w:lang w:bidi="ar-DZ"/>
        </w:rPr>
        <w:t xml:space="preserve">   </w:t>
      </w:r>
      <w:r w:rsidRPr="00C542A5">
        <w:rPr>
          <w:rFonts w:hint="cs"/>
          <w:sz w:val="30"/>
          <w:szCs w:val="30"/>
          <w:rtl/>
          <w:lang w:bidi="ar-DZ"/>
        </w:rPr>
        <w:t xml:space="preserve">لا يعتبر هذا النص إضافة جديدة لأنه يمكننا الوصول إلى نفس الطريق بتطبيق القواعد العامة المقرر في ق إ م و </w:t>
      </w:r>
      <w:proofErr w:type="gramStart"/>
      <w:r w:rsidRPr="00C542A5">
        <w:rPr>
          <w:rFonts w:hint="cs"/>
          <w:sz w:val="30"/>
          <w:szCs w:val="30"/>
          <w:rtl/>
          <w:lang w:bidi="ar-DZ"/>
        </w:rPr>
        <w:t>إ ،</w:t>
      </w:r>
      <w:proofErr w:type="gramEnd"/>
      <w:r w:rsidRPr="00C542A5">
        <w:rPr>
          <w:rFonts w:hint="cs"/>
          <w:sz w:val="30"/>
          <w:szCs w:val="30"/>
          <w:rtl/>
          <w:lang w:bidi="ar-DZ"/>
        </w:rPr>
        <w:t xml:space="preserve"> طالما أنها تدابير يبررها الطابع الاستعجالي للوقائع.</w:t>
      </w:r>
    </w:p>
    <w:p w:rsidR="002E7AC6" w:rsidRPr="00C542A5" w:rsidRDefault="002E7AC6" w:rsidP="002E7AC6">
      <w:pPr>
        <w:bidi/>
        <w:spacing w:before="240"/>
        <w:jc w:val="both"/>
        <w:rPr>
          <w:b/>
          <w:bCs/>
          <w:sz w:val="30"/>
          <w:szCs w:val="30"/>
          <w:rtl/>
          <w:lang w:bidi="ar-DZ"/>
        </w:rPr>
      </w:pPr>
      <w:r w:rsidRPr="00C542A5">
        <w:rPr>
          <w:b/>
          <w:bCs/>
          <w:sz w:val="30"/>
          <w:szCs w:val="30"/>
          <w:lang w:bidi="ar-DZ"/>
        </w:rPr>
        <w:t xml:space="preserve"> </w:t>
      </w:r>
      <w:r w:rsidR="00C542A5" w:rsidRPr="00C542A5">
        <w:rPr>
          <w:rFonts w:hint="cs"/>
          <w:b/>
          <w:bCs/>
          <w:sz w:val="30"/>
          <w:szCs w:val="30"/>
          <w:rtl/>
          <w:lang w:bidi="ar-DZ"/>
        </w:rPr>
        <w:t xml:space="preserve">  </w:t>
      </w:r>
      <w:r w:rsidRPr="00C542A5">
        <w:rPr>
          <w:b/>
          <w:bCs/>
          <w:sz w:val="30"/>
          <w:szCs w:val="30"/>
          <w:lang w:bidi="ar-DZ"/>
        </w:rPr>
        <w:t xml:space="preserve">      </w:t>
      </w:r>
      <w:r w:rsidRPr="00C542A5">
        <w:rPr>
          <w:rFonts w:hint="cs"/>
          <w:b/>
          <w:bCs/>
          <w:sz w:val="30"/>
          <w:szCs w:val="30"/>
          <w:rtl/>
          <w:lang w:bidi="ar-DZ"/>
        </w:rPr>
        <w:t>ثالثا-القانون العضوي 16/10 يتعلق بنظام الانتخابات</w:t>
      </w:r>
      <w:r w:rsidRPr="00C542A5">
        <w:rPr>
          <w:rStyle w:val="Appelnotedebasdep"/>
          <w:b/>
          <w:bCs/>
          <w:sz w:val="30"/>
          <w:szCs w:val="30"/>
          <w:rtl/>
          <w:lang w:bidi="ar-DZ"/>
        </w:rPr>
        <w:footnoteReference w:id="7"/>
      </w:r>
      <w:r w:rsidRPr="00C542A5">
        <w:rPr>
          <w:rFonts w:hint="cs"/>
          <w:b/>
          <w:bCs/>
          <w:sz w:val="30"/>
          <w:szCs w:val="30"/>
          <w:rtl/>
          <w:lang w:bidi="ar-DZ"/>
        </w:rPr>
        <w:t>:</w:t>
      </w:r>
      <w:r w:rsidR="0086281E" w:rsidRPr="00C542A5">
        <w:rPr>
          <w:b/>
          <w:bCs/>
          <w:sz w:val="30"/>
          <w:szCs w:val="30"/>
          <w:rtl/>
          <w:lang w:bidi="ar-DZ"/>
        </w:rPr>
        <w:tab/>
      </w:r>
    </w:p>
    <w:p w:rsidR="00C542A5" w:rsidRPr="00C542A5" w:rsidRDefault="002E7AC6" w:rsidP="00C542A5">
      <w:pPr>
        <w:bidi/>
        <w:spacing w:before="240"/>
        <w:jc w:val="both"/>
        <w:rPr>
          <w:sz w:val="30"/>
          <w:szCs w:val="30"/>
          <w:rtl/>
          <w:lang w:bidi="ar-DZ"/>
        </w:rPr>
      </w:pPr>
      <w:r w:rsidRPr="00C542A5">
        <w:rPr>
          <w:rFonts w:hint="cs"/>
          <w:b/>
          <w:bCs/>
          <w:sz w:val="30"/>
          <w:szCs w:val="30"/>
          <w:rtl/>
          <w:lang w:bidi="ar-DZ"/>
        </w:rPr>
        <w:t xml:space="preserve">    </w:t>
      </w:r>
      <w:r w:rsidRPr="00C542A5">
        <w:rPr>
          <w:rFonts w:hint="cs"/>
          <w:sz w:val="30"/>
          <w:szCs w:val="30"/>
          <w:rtl/>
          <w:lang w:bidi="ar-DZ"/>
        </w:rPr>
        <w:t>لقد جاء قانون الا</w:t>
      </w:r>
      <w:r w:rsidR="00C542A5" w:rsidRPr="00C542A5">
        <w:rPr>
          <w:rFonts w:hint="cs"/>
          <w:sz w:val="30"/>
          <w:szCs w:val="30"/>
          <w:rtl/>
          <w:lang w:bidi="ar-DZ"/>
        </w:rPr>
        <w:t>نت</w:t>
      </w:r>
      <w:r w:rsidRPr="00C542A5">
        <w:rPr>
          <w:rFonts w:hint="cs"/>
          <w:sz w:val="30"/>
          <w:szCs w:val="30"/>
          <w:rtl/>
          <w:lang w:bidi="ar-DZ"/>
        </w:rPr>
        <w:t>خابات الساري المفعول بالعديد من القيم</w:t>
      </w:r>
      <w:r w:rsidR="00C542A5" w:rsidRPr="00C542A5">
        <w:rPr>
          <w:rFonts w:hint="cs"/>
          <w:sz w:val="30"/>
          <w:szCs w:val="30"/>
          <w:rtl/>
          <w:lang w:bidi="ar-DZ"/>
        </w:rPr>
        <w:t>،</w:t>
      </w:r>
      <w:r w:rsidRPr="00C542A5">
        <w:rPr>
          <w:rFonts w:hint="cs"/>
          <w:sz w:val="30"/>
          <w:szCs w:val="30"/>
          <w:rtl/>
          <w:lang w:bidi="ar-DZ"/>
        </w:rPr>
        <w:t xml:space="preserve"> من أهمها أنه وضح جهة الاختصاص القضائي بالمنازعات الا</w:t>
      </w:r>
      <w:r w:rsidR="00C542A5" w:rsidRPr="00C542A5">
        <w:rPr>
          <w:rFonts w:hint="cs"/>
          <w:sz w:val="30"/>
          <w:szCs w:val="30"/>
          <w:rtl/>
          <w:lang w:bidi="ar-DZ"/>
        </w:rPr>
        <w:t>نت</w:t>
      </w:r>
      <w:r w:rsidRPr="00C542A5">
        <w:rPr>
          <w:rFonts w:hint="cs"/>
          <w:sz w:val="30"/>
          <w:szCs w:val="30"/>
          <w:rtl/>
          <w:lang w:bidi="ar-DZ"/>
        </w:rPr>
        <w:t>خابية</w:t>
      </w:r>
      <w:r w:rsidR="00C542A5" w:rsidRPr="00C542A5">
        <w:rPr>
          <w:rFonts w:hint="cs"/>
          <w:sz w:val="30"/>
          <w:szCs w:val="30"/>
          <w:rtl/>
          <w:lang w:bidi="ar-DZ"/>
        </w:rPr>
        <w:t>،</w:t>
      </w:r>
      <w:r w:rsidRPr="00C542A5">
        <w:rPr>
          <w:rFonts w:hint="cs"/>
          <w:sz w:val="30"/>
          <w:szCs w:val="30"/>
          <w:rtl/>
          <w:lang w:bidi="ar-DZ"/>
        </w:rPr>
        <w:t xml:space="preserve"> وخص المحلية منها باختصاص القضاء الإداري </w:t>
      </w:r>
      <w:r w:rsidR="00C542A5" w:rsidRPr="00C542A5">
        <w:rPr>
          <w:rFonts w:hint="cs"/>
          <w:sz w:val="30"/>
          <w:szCs w:val="30"/>
          <w:rtl/>
          <w:lang w:bidi="ar-DZ"/>
        </w:rPr>
        <w:t>و</w:t>
      </w:r>
      <w:r w:rsidRPr="00C542A5">
        <w:rPr>
          <w:rFonts w:hint="cs"/>
          <w:sz w:val="30"/>
          <w:szCs w:val="30"/>
          <w:rtl/>
          <w:lang w:bidi="ar-DZ"/>
        </w:rPr>
        <w:t>تحديدا المحاكم الإداري</w:t>
      </w:r>
      <w:r w:rsidR="00C542A5" w:rsidRPr="00C542A5">
        <w:rPr>
          <w:rFonts w:hint="cs"/>
          <w:sz w:val="30"/>
          <w:szCs w:val="30"/>
          <w:rtl/>
          <w:lang w:bidi="ar-DZ"/>
        </w:rPr>
        <w:t>،</w:t>
      </w:r>
      <w:r w:rsidRPr="00C542A5">
        <w:rPr>
          <w:rFonts w:hint="cs"/>
          <w:sz w:val="30"/>
          <w:szCs w:val="30"/>
          <w:rtl/>
          <w:lang w:bidi="ar-DZ"/>
        </w:rPr>
        <w:t xml:space="preserve"> في حين خص ال</w:t>
      </w:r>
      <w:r w:rsidR="00C542A5" w:rsidRPr="00C542A5">
        <w:rPr>
          <w:rFonts w:hint="cs"/>
          <w:sz w:val="30"/>
          <w:szCs w:val="30"/>
          <w:rtl/>
          <w:lang w:bidi="ar-DZ"/>
        </w:rPr>
        <w:t>ا</w:t>
      </w:r>
      <w:r w:rsidRPr="00C542A5">
        <w:rPr>
          <w:rFonts w:hint="cs"/>
          <w:sz w:val="30"/>
          <w:szCs w:val="30"/>
          <w:rtl/>
          <w:lang w:bidi="ar-DZ"/>
        </w:rPr>
        <w:t xml:space="preserve">نتخابات التشريعية والرئاسية </w:t>
      </w:r>
      <w:r w:rsidR="007700BC" w:rsidRPr="00C542A5">
        <w:rPr>
          <w:rFonts w:hint="cs"/>
          <w:sz w:val="30"/>
          <w:szCs w:val="30"/>
          <w:rtl/>
          <w:lang w:bidi="ar-DZ"/>
        </w:rPr>
        <w:t>فيما يتعلق بإعلان النتائج</w:t>
      </w:r>
      <w:r w:rsidRPr="00C542A5">
        <w:rPr>
          <w:rFonts w:hint="cs"/>
          <w:sz w:val="30"/>
          <w:szCs w:val="30"/>
          <w:rtl/>
          <w:lang w:bidi="ar-DZ"/>
        </w:rPr>
        <w:t xml:space="preserve"> </w:t>
      </w:r>
      <w:r w:rsidR="00C542A5" w:rsidRPr="00C542A5">
        <w:rPr>
          <w:rFonts w:hint="cs"/>
          <w:sz w:val="30"/>
          <w:szCs w:val="30"/>
          <w:rtl/>
          <w:lang w:bidi="ar-DZ"/>
        </w:rPr>
        <w:t xml:space="preserve">لاختصاص </w:t>
      </w:r>
      <w:r w:rsidRPr="00C542A5">
        <w:rPr>
          <w:rFonts w:hint="cs"/>
          <w:sz w:val="30"/>
          <w:szCs w:val="30"/>
          <w:rtl/>
          <w:lang w:bidi="ar-DZ"/>
        </w:rPr>
        <w:t>المجلس الدستوري</w:t>
      </w:r>
      <w:r w:rsidR="00C542A5" w:rsidRPr="00C542A5">
        <w:rPr>
          <w:rFonts w:hint="cs"/>
          <w:sz w:val="30"/>
          <w:szCs w:val="30"/>
          <w:rtl/>
          <w:lang w:bidi="ar-DZ"/>
        </w:rPr>
        <w:t>.</w:t>
      </w:r>
    </w:p>
    <w:p w:rsidR="002E7AC6" w:rsidRPr="00C542A5" w:rsidRDefault="00C542A5" w:rsidP="00C542A5">
      <w:pPr>
        <w:bidi/>
        <w:spacing w:before="240"/>
        <w:jc w:val="both"/>
        <w:rPr>
          <w:rFonts w:hint="cs"/>
          <w:sz w:val="30"/>
          <w:szCs w:val="30"/>
          <w:rtl/>
          <w:lang w:bidi="ar-DZ"/>
        </w:rPr>
      </w:pPr>
      <w:r w:rsidRPr="00C542A5">
        <w:rPr>
          <w:rFonts w:hint="cs"/>
          <w:sz w:val="30"/>
          <w:szCs w:val="30"/>
          <w:rtl/>
          <w:lang w:bidi="ar-DZ"/>
        </w:rPr>
        <w:t xml:space="preserve">     </w:t>
      </w:r>
      <w:r w:rsidR="002E7AC6" w:rsidRPr="00C542A5">
        <w:rPr>
          <w:rFonts w:hint="cs"/>
          <w:sz w:val="30"/>
          <w:szCs w:val="30"/>
          <w:rtl/>
          <w:lang w:bidi="ar-DZ"/>
        </w:rPr>
        <w:t xml:space="preserve"> وبالرغم مما يؤخذ عليه من حيث عدم قابلية الأحكام الصادرة من المحاكم الإدارية لأي طريق من طرق الطعن</w:t>
      </w:r>
      <w:r w:rsidRPr="00C542A5">
        <w:rPr>
          <w:rFonts w:hint="cs"/>
          <w:sz w:val="30"/>
          <w:szCs w:val="30"/>
          <w:rtl/>
          <w:lang w:bidi="ar-DZ"/>
        </w:rPr>
        <w:t>،</w:t>
      </w:r>
      <w:r w:rsidR="002E7AC6" w:rsidRPr="00C542A5">
        <w:rPr>
          <w:rFonts w:hint="cs"/>
          <w:sz w:val="30"/>
          <w:szCs w:val="30"/>
          <w:rtl/>
          <w:lang w:bidi="ar-DZ"/>
        </w:rPr>
        <w:t xml:space="preserve"> لما يمثله من مساس بمبدأ دستوري</w:t>
      </w:r>
      <w:r w:rsidRPr="00C542A5">
        <w:rPr>
          <w:rFonts w:hint="cs"/>
          <w:sz w:val="30"/>
          <w:szCs w:val="30"/>
          <w:rtl/>
          <w:lang w:bidi="ar-DZ"/>
        </w:rPr>
        <w:t xml:space="preserve"> وهو مبدأ التقاضي على درجتين</w:t>
      </w:r>
      <w:r w:rsidR="002E7AC6" w:rsidRPr="00C542A5">
        <w:rPr>
          <w:rFonts w:hint="cs"/>
          <w:sz w:val="30"/>
          <w:szCs w:val="30"/>
          <w:rtl/>
          <w:lang w:bidi="ar-DZ"/>
        </w:rPr>
        <w:t xml:space="preserve"> و</w:t>
      </w:r>
      <w:r w:rsidRPr="00C542A5">
        <w:rPr>
          <w:rFonts w:hint="cs"/>
          <w:sz w:val="30"/>
          <w:szCs w:val="30"/>
          <w:rtl/>
          <w:lang w:bidi="ar-DZ"/>
        </w:rPr>
        <w:t>تكريس</w:t>
      </w:r>
      <w:r w:rsidR="002E7AC6" w:rsidRPr="00C542A5">
        <w:rPr>
          <w:rFonts w:hint="cs"/>
          <w:sz w:val="30"/>
          <w:szCs w:val="30"/>
          <w:rtl/>
          <w:lang w:bidi="ar-DZ"/>
        </w:rPr>
        <w:t xml:space="preserve"> ضمانة للأفراد، إلا أن المشرع فضل الإسراع في بناء المؤسسات على </w:t>
      </w:r>
      <w:r w:rsidRPr="00C542A5">
        <w:rPr>
          <w:rFonts w:hint="cs"/>
          <w:sz w:val="30"/>
          <w:szCs w:val="30"/>
          <w:rtl/>
          <w:lang w:bidi="ar-DZ"/>
        </w:rPr>
        <w:t xml:space="preserve">تجسيد </w:t>
      </w:r>
      <w:r w:rsidR="002E7AC6" w:rsidRPr="00C542A5">
        <w:rPr>
          <w:rFonts w:hint="cs"/>
          <w:sz w:val="30"/>
          <w:szCs w:val="30"/>
          <w:rtl/>
          <w:lang w:bidi="ar-DZ"/>
        </w:rPr>
        <w:t>مبدأ الديمقراطية.</w:t>
      </w:r>
    </w:p>
    <w:p w:rsidR="007700BC" w:rsidRPr="00C542A5" w:rsidRDefault="002E7AC6" w:rsidP="00C542A5">
      <w:pPr>
        <w:bidi/>
        <w:spacing w:before="240"/>
        <w:jc w:val="both"/>
        <w:rPr>
          <w:sz w:val="30"/>
          <w:szCs w:val="30"/>
          <w:rtl/>
          <w:lang w:bidi="ar-DZ"/>
        </w:rPr>
      </w:pPr>
      <w:r w:rsidRPr="00C542A5">
        <w:rPr>
          <w:rFonts w:hint="cs"/>
          <w:sz w:val="30"/>
          <w:szCs w:val="30"/>
          <w:rtl/>
          <w:lang w:bidi="ar-DZ"/>
        </w:rPr>
        <w:lastRenderedPageBreak/>
        <w:t xml:space="preserve">   </w:t>
      </w:r>
      <w:r w:rsidR="00C542A5" w:rsidRPr="00C542A5">
        <w:rPr>
          <w:rFonts w:hint="cs"/>
          <w:sz w:val="30"/>
          <w:szCs w:val="30"/>
          <w:rtl/>
          <w:lang w:bidi="ar-DZ"/>
        </w:rPr>
        <w:t xml:space="preserve"> </w:t>
      </w:r>
      <w:r w:rsidRPr="00C542A5">
        <w:rPr>
          <w:rFonts w:hint="cs"/>
          <w:sz w:val="30"/>
          <w:szCs w:val="30"/>
          <w:rtl/>
          <w:lang w:bidi="ar-DZ"/>
        </w:rPr>
        <w:t>مبدئيا لم ينص المشرع في نصوص قانون الانتخابات على اختصاص القضاء الاستعجالي</w:t>
      </w:r>
      <w:r w:rsidR="00C542A5" w:rsidRPr="00C542A5">
        <w:rPr>
          <w:rFonts w:hint="cs"/>
          <w:sz w:val="30"/>
          <w:szCs w:val="30"/>
          <w:rtl/>
          <w:lang w:bidi="ar-DZ"/>
        </w:rPr>
        <w:t xml:space="preserve"> صراحة</w:t>
      </w:r>
      <w:r w:rsidRPr="00C542A5">
        <w:rPr>
          <w:rFonts w:hint="cs"/>
          <w:sz w:val="30"/>
          <w:szCs w:val="30"/>
          <w:rtl/>
          <w:lang w:bidi="ar-DZ"/>
        </w:rPr>
        <w:t xml:space="preserve"> غي</w:t>
      </w:r>
      <w:r w:rsidR="007700BC" w:rsidRPr="00C542A5">
        <w:rPr>
          <w:rFonts w:hint="cs"/>
          <w:sz w:val="30"/>
          <w:szCs w:val="30"/>
          <w:rtl/>
          <w:lang w:bidi="ar-DZ"/>
        </w:rPr>
        <w:t>ر أن</w:t>
      </w:r>
      <w:r w:rsidR="00C542A5" w:rsidRPr="00C542A5">
        <w:rPr>
          <w:rFonts w:hint="cs"/>
          <w:sz w:val="30"/>
          <w:szCs w:val="30"/>
          <w:rtl/>
          <w:lang w:bidi="ar-DZ"/>
        </w:rPr>
        <w:t>ه</w:t>
      </w:r>
      <w:r w:rsidR="007700BC" w:rsidRPr="00C542A5">
        <w:rPr>
          <w:rFonts w:hint="cs"/>
          <w:sz w:val="30"/>
          <w:szCs w:val="30"/>
          <w:rtl/>
          <w:lang w:bidi="ar-DZ"/>
        </w:rPr>
        <w:t xml:space="preserve"> من </w:t>
      </w:r>
      <w:r w:rsidR="00C542A5" w:rsidRPr="00C542A5">
        <w:rPr>
          <w:rFonts w:hint="cs"/>
          <w:sz w:val="30"/>
          <w:szCs w:val="30"/>
          <w:rtl/>
          <w:lang w:bidi="ar-DZ"/>
        </w:rPr>
        <w:t xml:space="preserve">خلال </w:t>
      </w:r>
      <w:r w:rsidR="007700BC" w:rsidRPr="00C542A5">
        <w:rPr>
          <w:rFonts w:hint="cs"/>
          <w:sz w:val="30"/>
          <w:szCs w:val="30"/>
          <w:rtl/>
          <w:lang w:bidi="ar-DZ"/>
        </w:rPr>
        <w:t xml:space="preserve">تقصير المواعيد </w:t>
      </w:r>
      <w:r w:rsidR="00C542A5" w:rsidRPr="00C542A5">
        <w:rPr>
          <w:rFonts w:hint="cs"/>
          <w:sz w:val="30"/>
          <w:szCs w:val="30"/>
          <w:rtl/>
          <w:lang w:bidi="ar-DZ"/>
        </w:rPr>
        <w:t>نصل إلى التقرير بأنها أو</w:t>
      </w:r>
      <w:r w:rsidR="007700BC" w:rsidRPr="00C542A5">
        <w:rPr>
          <w:rFonts w:hint="cs"/>
          <w:sz w:val="30"/>
          <w:szCs w:val="30"/>
          <w:rtl/>
          <w:lang w:bidi="ar-DZ"/>
        </w:rPr>
        <w:t>امر استعجالية على التفصيل الآتي:</w:t>
      </w:r>
    </w:p>
    <w:p w:rsidR="007700BC" w:rsidRPr="00C542A5" w:rsidRDefault="007700BC" w:rsidP="00C542A5">
      <w:pPr>
        <w:bidi/>
        <w:spacing w:before="240"/>
        <w:jc w:val="both"/>
        <w:rPr>
          <w:sz w:val="30"/>
          <w:szCs w:val="30"/>
          <w:rtl/>
          <w:lang w:bidi="ar-DZ"/>
        </w:rPr>
      </w:pPr>
      <w:r w:rsidRPr="00C542A5">
        <w:rPr>
          <w:rFonts w:hint="cs"/>
          <w:sz w:val="30"/>
          <w:szCs w:val="30"/>
          <w:rtl/>
          <w:lang w:bidi="ar-DZ"/>
        </w:rPr>
        <w:t xml:space="preserve">   </w:t>
      </w:r>
      <w:r w:rsidR="00C542A5" w:rsidRPr="00C542A5">
        <w:rPr>
          <w:rFonts w:hint="cs"/>
          <w:sz w:val="30"/>
          <w:szCs w:val="30"/>
          <w:rtl/>
          <w:lang w:bidi="ar-DZ"/>
        </w:rPr>
        <w:t xml:space="preserve"> </w:t>
      </w:r>
      <w:r w:rsidRPr="00C542A5">
        <w:rPr>
          <w:rFonts w:hint="cs"/>
          <w:b/>
          <w:bCs/>
          <w:sz w:val="30"/>
          <w:szCs w:val="30"/>
          <w:rtl/>
          <w:lang w:bidi="ar-DZ"/>
        </w:rPr>
        <w:t>أ-بالنسبة لمنازعات الترشح</w:t>
      </w:r>
      <w:r w:rsidRPr="00C542A5">
        <w:rPr>
          <w:rFonts w:hint="cs"/>
          <w:sz w:val="30"/>
          <w:szCs w:val="30"/>
          <w:rtl/>
          <w:lang w:bidi="ar-DZ"/>
        </w:rPr>
        <w:t>: وتثور عندما يتم رفض أي ترشيح أو قائمة مترشحين بقرار من الوالي، والذي يجب أن يكون معللا تعليلا قانونيا وصراحة.</w:t>
      </w:r>
    </w:p>
    <w:p w:rsidR="007700BC" w:rsidRPr="00C542A5" w:rsidRDefault="007700BC" w:rsidP="007700BC">
      <w:pPr>
        <w:bidi/>
        <w:spacing w:before="240"/>
        <w:jc w:val="both"/>
        <w:rPr>
          <w:rFonts w:hint="cs"/>
          <w:sz w:val="30"/>
          <w:szCs w:val="30"/>
          <w:rtl/>
          <w:lang w:bidi="ar-DZ"/>
        </w:rPr>
      </w:pPr>
      <w:r w:rsidRPr="00C542A5">
        <w:rPr>
          <w:rFonts w:hint="cs"/>
          <w:sz w:val="30"/>
          <w:szCs w:val="30"/>
          <w:rtl/>
          <w:lang w:bidi="ar-DZ"/>
        </w:rPr>
        <w:t xml:space="preserve">   يكون قرار الرفض قابلا للطعن أمام المحكمة الإدارية المختصة إقليميا</w:t>
      </w:r>
      <w:r w:rsidR="00C542A5" w:rsidRPr="00C542A5">
        <w:rPr>
          <w:rFonts w:hint="cs"/>
          <w:sz w:val="30"/>
          <w:szCs w:val="30"/>
          <w:rtl/>
          <w:lang w:bidi="ar-DZ"/>
        </w:rPr>
        <w:t>،</w:t>
      </w:r>
      <w:r w:rsidRPr="00C542A5">
        <w:rPr>
          <w:rFonts w:hint="cs"/>
          <w:sz w:val="30"/>
          <w:szCs w:val="30"/>
          <w:rtl/>
          <w:lang w:bidi="ar-DZ"/>
        </w:rPr>
        <w:t xml:space="preserve"> خلال ثلاثة</w:t>
      </w:r>
      <w:r w:rsidR="00C542A5" w:rsidRPr="00C542A5">
        <w:rPr>
          <w:rFonts w:hint="cs"/>
          <w:sz w:val="30"/>
          <w:szCs w:val="30"/>
          <w:rtl/>
          <w:lang w:bidi="ar-DZ"/>
        </w:rPr>
        <w:t>(3)</w:t>
      </w:r>
      <w:r w:rsidRPr="00C542A5">
        <w:rPr>
          <w:rFonts w:hint="cs"/>
          <w:sz w:val="30"/>
          <w:szCs w:val="30"/>
          <w:rtl/>
          <w:lang w:bidi="ar-DZ"/>
        </w:rPr>
        <w:t xml:space="preserve"> أيام كاملة من تاريخ تبليغ القرار، تفصل المحكمة الإدارية في الطعن في أجل خمسة </w:t>
      </w:r>
      <w:r w:rsidR="00C542A5" w:rsidRPr="00C542A5">
        <w:rPr>
          <w:rFonts w:hint="cs"/>
          <w:sz w:val="30"/>
          <w:szCs w:val="30"/>
          <w:rtl/>
          <w:lang w:bidi="ar-DZ"/>
        </w:rPr>
        <w:t>(</w:t>
      </w:r>
      <w:proofErr w:type="gramStart"/>
      <w:r w:rsidR="00C542A5" w:rsidRPr="00C542A5">
        <w:rPr>
          <w:rFonts w:hint="cs"/>
          <w:sz w:val="30"/>
          <w:szCs w:val="30"/>
          <w:rtl/>
          <w:lang w:bidi="ar-DZ"/>
        </w:rPr>
        <w:t>5)</w:t>
      </w:r>
      <w:r w:rsidRPr="00C542A5">
        <w:rPr>
          <w:rFonts w:hint="cs"/>
          <w:sz w:val="30"/>
          <w:szCs w:val="30"/>
          <w:rtl/>
          <w:lang w:bidi="ar-DZ"/>
        </w:rPr>
        <w:t>أيام</w:t>
      </w:r>
      <w:proofErr w:type="gramEnd"/>
      <w:r w:rsidRPr="00C542A5">
        <w:rPr>
          <w:rFonts w:hint="cs"/>
          <w:sz w:val="30"/>
          <w:szCs w:val="30"/>
          <w:rtl/>
          <w:lang w:bidi="ar-DZ"/>
        </w:rPr>
        <w:t xml:space="preserve"> كاملة من تاريخ رفع الطعن.</w:t>
      </w:r>
    </w:p>
    <w:p w:rsidR="007700BC" w:rsidRPr="00C542A5" w:rsidRDefault="007700BC" w:rsidP="00C542A5">
      <w:pPr>
        <w:bidi/>
        <w:spacing w:before="240"/>
        <w:jc w:val="both"/>
        <w:rPr>
          <w:sz w:val="30"/>
          <w:szCs w:val="30"/>
          <w:rtl/>
          <w:lang w:bidi="ar-DZ"/>
        </w:rPr>
      </w:pPr>
      <w:r w:rsidRPr="00C542A5">
        <w:rPr>
          <w:rFonts w:hint="cs"/>
          <w:sz w:val="30"/>
          <w:szCs w:val="30"/>
          <w:rtl/>
          <w:lang w:bidi="ar-DZ"/>
        </w:rPr>
        <w:t xml:space="preserve"> </w:t>
      </w:r>
      <w:r w:rsidR="00C542A5" w:rsidRPr="00C542A5">
        <w:rPr>
          <w:rFonts w:hint="cs"/>
          <w:sz w:val="30"/>
          <w:szCs w:val="30"/>
          <w:rtl/>
          <w:lang w:bidi="ar-DZ"/>
        </w:rPr>
        <w:t xml:space="preserve">   </w:t>
      </w:r>
      <w:r w:rsidRPr="00C542A5">
        <w:rPr>
          <w:rFonts w:hint="cs"/>
          <w:sz w:val="30"/>
          <w:szCs w:val="30"/>
          <w:rtl/>
          <w:lang w:bidi="ar-DZ"/>
        </w:rPr>
        <w:t xml:space="preserve"> وتعتبر هذه الأحكام مشتركة على الترشيحات في المجالس الشعبية البلدية والولائية</w:t>
      </w:r>
      <w:r w:rsidRPr="00C542A5">
        <w:rPr>
          <w:rStyle w:val="Appelnotedebasdep"/>
          <w:sz w:val="30"/>
          <w:szCs w:val="30"/>
          <w:rtl/>
          <w:lang w:bidi="ar-DZ"/>
        </w:rPr>
        <w:footnoteReference w:id="8"/>
      </w:r>
      <w:r w:rsidRPr="00C542A5">
        <w:rPr>
          <w:rFonts w:hint="cs"/>
          <w:sz w:val="30"/>
          <w:szCs w:val="30"/>
          <w:rtl/>
          <w:lang w:bidi="ar-DZ"/>
        </w:rPr>
        <w:t>، وكذلك في المجلس الشعبي الوطني</w:t>
      </w:r>
      <w:r w:rsidR="002000D8" w:rsidRPr="00C542A5">
        <w:rPr>
          <w:rStyle w:val="Appelnotedebasdep"/>
          <w:sz w:val="30"/>
          <w:szCs w:val="30"/>
          <w:rtl/>
          <w:lang w:bidi="ar-DZ"/>
        </w:rPr>
        <w:footnoteReference w:id="9"/>
      </w:r>
      <w:r w:rsidR="002000D8" w:rsidRPr="00C542A5">
        <w:rPr>
          <w:rFonts w:hint="cs"/>
          <w:sz w:val="30"/>
          <w:szCs w:val="30"/>
          <w:rtl/>
          <w:lang w:bidi="ar-DZ"/>
        </w:rPr>
        <w:t xml:space="preserve"> ومجلس الأمة</w:t>
      </w:r>
      <w:r w:rsidR="002000D8" w:rsidRPr="00C542A5">
        <w:rPr>
          <w:rStyle w:val="Appelnotedebasdep"/>
          <w:sz w:val="30"/>
          <w:szCs w:val="30"/>
          <w:rtl/>
          <w:lang w:bidi="ar-DZ"/>
        </w:rPr>
        <w:footnoteReference w:id="10"/>
      </w:r>
      <w:r w:rsidR="002000D8" w:rsidRPr="00C542A5">
        <w:rPr>
          <w:rFonts w:hint="cs"/>
          <w:sz w:val="30"/>
          <w:szCs w:val="30"/>
          <w:rtl/>
          <w:lang w:bidi="ar-DZ"/>
        </w:rPr>
        <w:t>.</w:t>
      </w:r>
      <w:r w:rsidRPr="00C542A5">
        <w:rPr>
          <w:rFonts w:hint="cs"/>
          <w:sz w:val="30"/>
          <w:szCs w:val="30"/>
          <w:rtl/>
          <w:lang w:bidi="ar-DZ"/>
        </w:rPr>
        <w:t xml:space="preserve"> </w:t>
      </w:r>
    </w:p>
    <w:p w:rsidR="002000D8" w:rsidRPr="00C542A5" w:rsidRDefault="00C542A5" w:rsidP="00C542A5">
      <w:pPr>
        <w:bidi/>
        <w:spacing w:before="240"/>
        <w:jc w:val="both"/>
        <w:rPr>
          <w:sz w:val="30"/>
          <w:szCs w:val="30"/>
          <w:rtl/>
          <w:lang w:bidi="ar-DZ"/>
        </w:rPr>
      </w:pPr>
      <w:r w:rsidRPr="00C542A5">
        <w:rPr>
          <w:rFonts w:hint="cs"/>
          <w:sz w:val="30"/>
          <w:szCs w:val="30"/>
          <w:rtl/>
          <w:lang w:bidi="ar-DZ"/>
        </w:rPr>
        <w:t xml:space="preserve">      </w:t>
      </w:r>
      <w:r w:rsidR="002000D8" w:rsidRPr="00C542A5">
        <w:rPr>
          <w:rFonts w:hint="cs"/>
          <w:b/>
          <w:bCs/>
          <w:sz w:val="30"/>
          <w:szCs w:val="30"/>
          <w:rtl/>
          <w:lang w:bidi="ar-DZ"/>
        </w:rPr>
        <w:t xml:space="preserve">ب-بالنسبة لمنازعات </w:t>
      </w:r>
      <w:r w:rsidRPr="00C542A5">
        <w:rPr>
          <w:rFonts w:hint="cs"/>
          <w:b/>
          <w:bCs/>
          <w:sz w:val="30"/>
          <w:szCs w:val="30"/>
          <w:rtl/>
          <w:lang w:bidi="ar-DZ"/>
        </w:rPr>
        <w:t>صحة عمليات التصويت(النتائج)</w:t>
      </w:r>
      <w:r w:rsidR="002000D8" w:rsidRPr="00C542A5">
        <w:rPr>
          <w:rFonts w:hint="cs"/>
          <w:sz w:val="30"/>
          <w:szCs w:val="30"/>
          <w:rtl/>
          <w:lang w:bidi="ar-DZ"/>
        </w:rPr>
        <w:t>: لكل ناخب الحق في الاعتراض على صحة عمليات التصويت المتعلقة ب</w:t>
      </w:r>
      <w:r w:rsidRPr="00C542A5">
        <w:rPr>
          <w:rFonts w:hint="cs"/>
          <w:sz w:val="30"/>
          <w:szCs w:val="30"/>
          <w:rtl/>
          <w:lang w:bidi="ar-DZ"/>
        </w:rPr>
        <w:t>انت</w:t>
      </w:r>
      <w:r w:rsidR="002000D8" w:rsidRPr="00C542A5">
        <w:rPr>
          <w:rFonts w:hint="cs"/>
          <w:sz w:val="30"/>
          <w:szCs w:val="30"/>
          <w:rtl/>
          <w:lang w:bidi="ar-DZ"/>
        </w:rPr>
        <w:t>خاب أعضاء المجالس البلدية والولائية</w:t>
      </w:r>
      <w:r w:rsidRPr="00C542A5">
        <w:rPr>
          <w:rFonts w:hint="cs"/>
          <w:sz w:val="30"/>
          <w:szCs w:val="30"/>
          <w:rtl/>
          <w:lang w:bidi="ar-DZ"/>
        </w:rPr>
        <w:t xml:space="preserve">، </w:t>
      </w:r>
      <w:r w:rsidR="002000D8" w:rsidRPr="00C542A5">
        <w:rPr>
          <w:rFonts w:hint="cs"/>
          <w:sz w:val="30"/>
          <w:szCs w:val="30"/>
          <w:rtl/>
          <w:lang w:bidi="ar-DZ"/>
        </w:rPr>
        <w:t>بإيداع احتجاجه في المكتب الذي صوت به، تبت اللجنة الانتخابية الولائية في الاحتجاجات المقدمة لها</w:t>
      </w:r>
      <w:r w:rsidRPr="00C542A5">
        <w:rPr>
          <w:rFonts w:hint="cs"/>
          <w:sz w:val="30"/>
          <w:szCs w:val="30"/>
          <w:rtl/>
          <w:lang w:bidi="ar-DZ"/>
        </w:rPr>
        <w:t>،</w:t>
      </w:r>
      <w:r w:rsidR="002000D8" w:rsidRPr="00C542A5">
        <w:rPr>
          <w:rFonts w:hint="cs"/>
          <w:sz w:val="30"/>
          <w:szCs w:val="30"/>
          <w:rtl/>
          <w:lang w:bidi="ar-DZ"/>
        </w:rPr>
        <w:t xml:space="preserve"> وتكون قرارات هذه اللجنة قابلة للطعن في أجل ثلاثة</w:t>
      </w:r>
      <w:r w:rsidRPr="00C542A5">
        <w:rPr>
          <w:rFonts w:hint="cs"/>
          <w:sz w:val="30"/>
          <w:szCs w:val="30"/>
          <w:rtl/>
          <w:lang w:bidi="ar-DZ"/>
        </w:rPr>
        <w:t>(3)</w:t>
      </w:r>
      <w:r w:rsidR="002000D8" w:rsidRPr="00C542A5">
        <w:rPr>
          <w:rFonts w:hint="cs"/>
          <w:sz w:val="30"/>
          <w:szCs w:val="30"/>
          <w:rtl/>
          <w:lang w:bidi="ar-DZ"/>
        </w:rPr>
        <w:t xml:space="preserve"> أيام ابتداء من </w:t>
      </w:r>
      <w:r w:rsidRPr="00C542A5">
        <w:rPr>
          <w:rFonts w:hint="cs"/>
          <w:sz w:val="30"/>
          <w:szCs w:val="30"/>
          <w:rtl/>
          <w:lang w:bidi="ar-DZ"/>
        </w:rPr>
        <w:t>ت</w:t>
      </w:r>
      <w:r w:rsidR="002000D8" w:rsidRPr="00C542A5">
        <w:rPr>
          <w:rFonts w:hint="cs"/>
          <w:sz w:val="30"/>
          <w:szCs w:val="30"/>
          <w:rtl/>
          <w:lang w:bidi="ar-DZ"/>
        </w:rPr>
        <w:t>اريخ تبليغها أمام المحكمة الإدارية المختصة إقليميا</w:t>
      </w:r>
      <w:r w:rsidRPr="00C542A5">
        <w:rPr>
          <w:rFonts w:hint="cs"/>
          <w:sz w:val="30"/>
          <w:szCs w:val="30"/>
          <w:rtl/>
          <w:lang w:bidi="ar-DZ"/>
        </w:rPr>
        <w:t>،</w:t>
      </w:r>
      <w:r w:rsidR="002000D8" w:rsidRPr="00C542A5">
        <w:rPr>
          <w:rFonts w:hint="cs"/>
          <w:sz w:val="30"/>
          <w:szCs w:val="30"/>
          <w:rtl/>
          <w:lang w:bidi="ar-DZ"/>
        </w:rPr>
        <w:t xml:space="preserve"> </w:t>
      </w:r>
      <w:r w:rsidRPr="00C542A5">
        <w:rPr>
          <w:rFonts w:hint="cs"/>
          <w:sz w:val="30"/>
          <w:szCs w:val="30"/>
          <w:rtl/>
          <w:lang w:bidi="ar-DZ"/>
        </w:rPr>
        <w:t>هذه الأخيرة</w:t>
      </w:r>
      <w:r w:rsidR="002000D8" w:rsidRPr="00C542A5">
        <w:rPr>
          <w:rFonts w:hint="cs"/>
          <w:sz w:val="30"/>
          <w:szCs w:val="30"/>
          <w:rtl/>
          <w:lang w:bidi="ar-DZ"/>
        </w:rPr>
        <w:t xml:space="preserve"> تبت بدورها فيها في أجل أقصاه خمسة</w:t>
      </w:r>
      <w:r w:rsidRPr="00C542A5">
        <w:rPr>
          <w:rFonts w:hint="cs"/>
          <w:sz w:val="30"/>
          <w:szCs w:val="30"/>
          <w:rtl/>
          <w:lang w:bidi="ar-DZ"/>
        </w:rPr>
        <w:t>(5)</w:t>
      </w:r>
      <w:r w:rsidR="002000D8" w:rsidRPr="00C542A5">
        <w:rPr>
          <w:rFonts w:hint="cs"/>
          <w:sz w:val="30"/>
          <w:szCs w:val="30"/>
          <w:rtl/>
          <w:lang w:bidi="ar-DZ"/>
        </w:rPr>
        <w:t xml:space="preserve"> أيام.</w:t>
      </w:r>
      <w:r w:rsidR="002000D8" w:rsidRPr="00C542A5">
        <w:rPr>
          <w:rStyle w:val="Appelnotedebasdep"/>
          <w:sz w:val="30"/>
          <w:szCs w:val="30"/>
          <w:rtl/>
          <w:lang w:bidi="ar-DZ"/>
        </w:rPr>
        <w:footnoteReference w:id="11"/>
      </w:r>
    </w:p>
    <w:p w:rsidR="006D321D" w:rsidRPr="00C542A5" w:rsidRDefault="002000D8" w:rsidP="00C542A5">
      <w:pPr>
        <w:bidi/>
        <w:spacing w:before="240"/>
        <w:jc w:val="both"/>
        <w:rPr>
          <w:sz w:val="30"/>
          <w:szCs w:val="30"/>
          <w:lang w:bidi="ar-DZ"/>
        </w:rPr>
      </w:pPr>
      <w:r w:rsidRPr="00C542A5">
        <w:rPr>
          <w:rFonts w:hint="cs"/>
          <w:sz w:val="30"/>
          <w:szCs w:val="30"/>
          <w:rtl/>
          <w:lang w:bidi="ar-DZ"/>
        </w:rPr>
        <w:t xml:space="preserve">  في حين أن الاعتراض على الانتخابات التشريعية</w:t>
      </w:r>
      <w:r w:rsidR="00C542A5" w:rsidRPr="00C542A5">
        <w:rPr>
          <w:rStyle w:val="Appelnotedebasdep"/>
          <w:sz w:val="30"/>
          <w:szCs w:val="30"/>
          <w:rtl/>
          <w:lang w:bidi="ar-DZ"/>
        </w:rPr>
        <w:footnoteReference w:id="12"/>
      </w:r>
      <w:r w:rsidRPr="00C542A5">
        <w:rPr>
          <w:rFonts w:hint="cs"/>
          <w:sz w:val="30"/>
          <w:szCs w:val="30"/>
          <w:rtl/>
          <w:lang w:bidi="ar-DZ"/>
        </w:rPr>
        <w:t xml:space="preserve"> أو الرئاسية يكون أمام المجلس الدستوري</w:t>
      </w:r>
      <w:r w:rsidR="00C542A5" w:rsidRPr="00C542A5">
        <w:rPr>
          <w:rStyle w:val="Appelnotedebasdep"/>
          <w:sz w:val="30"/>
          <w:szCs w:val="30"/>
          <w:rtl/>
          <w:lang w:bidi="ar-DZ"/>
        </w:rPr>
        <w:footnoteReference w:id="13"/>
      </w:r>
      <w:r w:rsidR="0086281E" w:rsidRPr="00C542A5">
        <w:rPr>
          <w:sz w:val="30"/>
          <w:szCs w:val="30"/>
          <w:rtl/>
          <w:lang w:bidi="ar-DZ"/>
        </w:rPr>
        <w:tab/>
      </w:r>
      <w:r w:rsidR="0086281E" w:rsidRPr="00C542A5">
        <w:rPr>
          <w:sz w:val="30"/>
          <w:szCs w:val="30"/>
          <w:rtl/>
          <w:lang w:bidi="ar-DZ"/>
        </w:rPr>
        <w:tab/>
      </w:r>
      <w:r w:rsidR="0086281E" w:rsidRPr="00C542A5">
        <w:rPr>
          <w:sz w:val="30"/>
          <w:szCs w:val="30"/>
          <w:rtl/>
          <w:lang w:bidi="ar-DZ"/>
        </w:rPr>
        <w:tab/>
      </w:r>
      <w:r w:rsidR="0086281E" w:rsidRPr="00C542A5">
        <w:rPr>
          <w:sz w:val="30"/>
          <w:szCs w:val="30"/>
          <w:rtl/>
          <w:lang w:bidi="ar-DZ"/>
        </w:rPr>
        <w:tab/>
      </w:r>
      <w:r w:rsidR="0086281E" w:rsidRPr="00C542A5">
        <w:rPr>
          <w:sz w:val="30"/>
          <w:szCs w:val="30"/>
          <w:rtl/>
          <w:lang w:bidi="ar-DZ"/>
        </w:rPr>
        <w:tab/>
      </w:r>
      <w:r w:rsidR="0086281E" w:rsidRPr="00C542A5">
        <w:rPr>
          <w:sz w:val="30"/>
          <w:szCs w:val="30"/>
          <w:rtl/>
          <w:lang w:bidi="ar-DZ"/>
        </w:rPr>
        <w:tab/>
      </w:r>
      <w:r w:rsidR="0086281E" w:rsidRPr="00C542A5">
        <w:rPr>
          <w:sz w:val="30"/>
          <w:szCs w:val="30"/>
          <w:rtl/>
          <w:lang w:bidi="ar-DZ"/>
        </w:rPr>
        <w:tab/>
      </w:r>
      <w:r w:rsidR="0086281E" w:rsidRPr="00C542A5">
        <w:rPr>
          <w:sz w:val="30"/>
          <w:szCs w:val="30"/>
          <w:rtl/>
          <w:lang w:bidi="ar-DZ"/>
        </w:rPr>
        <w:tab/>
      </w:r>
      <w:r w:rsidR="0086281E" w:rsidRPr="00C542A5">
        <w:rPr>
          <w:sz w:val="30"/>
          <w:szCs w:val="30"/>
          <w:rtl/>
          <w:lang w:bidi="ar-DZ"/>
        </w:rPr>
        <w:tab/>
      </w:r>
      <w:r w:rsidR="0086281E" w:rsidRPr="00C542A5">
        <w:rPr>
          <w:sz w:val="30"/>
          <w:szCs w:val="30"/>
          <w:rtl/>
          <w:lang w:bidi="ar-DZ"/>
        </w:rPr>
        <w:tab/>
      </w:r>
      <w:r w:rsidR="0086281E" w:rsidRPr="00C542A5">
        <w:rPr>
          <w:sz w:val="30"/>
          <w:szCs w:val="30"/>
          <w:rtl/>
          <w:lang w:bidi="ar-DZ"/>
        </w:rPr>
        <w:tab/>
      </w:r>
    </w:p>
    <w:p w:rsidR="002E7AC6" w:rsidRPr="00C542A5" w:rsidRDefault="00501215" w:rsidP="00C542A5">
      <w:pPr>
        <w:bidi/>
        <w:spacing w:before="240"/>
        <w:jc w:val="both"/>
        <w:rPr>
          <w:sz w:val="30"/>
          <w:szCs w:val="30"/>
          <w:lang w:bidi="ar-DZ"/>
        </w:rPr>
      </w:pPr>
      <w:r w:rsidRPr="00C542A5">
        <w:rPr>
          <w:rFonts w:hint="cs"/>
          <w:sz w:val="30"/>
          <w:szCs w:val="30"/>
          <w:rtl/>
          <w:lang w:bidi="ar-DZ"/>
        </w:rPr>
        <w:t xml:space="preserve">   </w:t>
      </w:r>
    </w:p>
    <w:sectPr w:rsidR="002E7AC6" w:rsidRPr="00C542A5">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F59" w:rsidRDefault="005D2F59" w:rsidP="00BB5B6B">
      <w:pPr>
        <w:spacing w:after="0" w:line="240" w:lineRule="auto"/>
      </w:pPr>
      <w:r>
        <w:separator/>
      </w:r>
    </w:p>
  </w:endnote>
  <w:endnote w:type="continuationSeparator" w:id="0">
    <w:p w:rsidR="005D2F59" w:rsidRDefault="005D2F59" w:rsidP="00BB5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F59" w:rsidRDefault="005D2F59" w:rsidP="00BB5B6B">
      <w:pPr>
        <w:spacing w:after="0" w:line="240" w:lineRule="auto"/>
      </w:pPr>
      <w:r>
        <w:separator/>
      </w:r>
    </w:p>
  </w:footnote>
  <w:footnote w:type="continuationSeparator" w:id="0">
    <w:p w:rsidR="005D2F59" w:rsidRDefault="005D2F59" w:rsidP="00BB5B6B">
      <w:pPr>
        <w:spacing w:after="0" w:line="240" w:lineRule="auto"/>
      </w:pPr>
      <w:r>
        <w:continuationSeparator/>
      </w:r>
    </w:p>
  </w:footnote>
  <w:footnote w:id="1">
    <w:p w:rsidR="0086281E" w:rsidRPr="00C542A5" w:rsidRDefault="0086281E" w:rsidP="00C137A4">
      <w:pPr>
        <w:pStyle w:val="Notedebasdepage"/>
        <w:bidi/>
        <w:jc w:val="both"/>
        <w:rPr>
          <w:sz w:val="26"/>
          <w:szCs w:val="26"/>
          <w:rtl/>
          <w:lang w:bidi="ar-DZ"/>
        </w:rPr>
      </w:pPr>
      <w:r w:rsidRPr="00C542A5">
        <w:rPr>
          <w:rStyle w:val="Appelnotedebasdep"/>
          <w:sz w:val="26"/>
          <w:szCs w:val="26"/>
        </w:rPr>
        <w:footnoteRef/>
      </w:r>
      <w:r w:rsidRPr="00C542A5">
        <w:rPr>
          <w:sz w:val="26"/>
          <w:szCs w:val="26"/>
        </w:rPr>
        <w:t xml:space="preserve"> </w:t>
      </w:r>
      <w:r w:rsidRPr="00C542A5">
        <w:rPr>
          <w:rFonts w:hint="cs"/>
          <w:sz w:val="26"/>
          <w:szCs w:val="26"/>
          <w:rtl/>
        </w:rPr>
        <w:t>- القانون 08/11 المؤرخ في 25 يونيو 2008، بتعلق بشروط دخول الأجانب وإقامتهم بها وتنقلهم فيها، ج ر عدد 36 الصادرة بتاريخ 2 يوليو 2008، ص 4.</w:t>
      </w:r>
      <w:r w:rsidRPr="00C542A5">
        <w:rPr>
          <w:sz w:val="26"/>
          <w:szCs w:val="26"/>
        </w:rPr>
        <w:t xml:space="preserve"> </w:t>
      </w:r>
    </w:p>
  </w:footnote>
  <w:footnote w:id="2">
    <w:p w:rsidR="0086281E" w:rsidRPr="00C542A5" w:rsidRDefault="0086281E" w:rsidP="00C137A4">
      <w:pPr>
        <w:pStyle w:val="Notedebasdepage"/>
        <w:bidi/>
        <w:rPr>
          <w:sz w:val="26"/>
          <w:szCs w:val="26"/>
          <w:rtl/>
        </w:rPr>
      </w:pPr>
      <w:r w:rsidRPr="00C542A5">
        <w:rPr>
          <w:rStyle w:val="Appelnotedebasdep"/>
          <w:sz w:val="26"/>
          <w:szCs w:val="26"/>
        </w:rPr>
        <w:footnoteRef/>
      </w:r>
      <w:r w:rsidRPr="00C542A5">
        <w:rPr>
          <w:sz w:val="26"/>
          <w:szCs w:val="26"/>
        </w:rPr>
        <w:t xml:space="preserve"> </w:t>
      </w:r>
      <w:r w:rsidRPr="00C542A5">
        <w:rPr>
          <w:rFonts w:hint="cs"/>
          <w:sz w:val="26"/>
          <w:szCs w:val="26"/>
          <w:rtl/>
        </w:rPr>
        <w:t>- المادتين 31 و32 من القانون 08/11.</w:t>
      </w:r>
    </w:p>
  </w:footnote>
  <w:footnote w:id="3">
    <w:p w:rsidR="0086281E" w:rsidRPr="00C542A5" w:rsidRDefault="0086281E" w:rsidP="00C137A4">
      <w:pPr>
        <w:pStyle w:val="Notedebasdepage"/>
        <w:bidi/>
        <w:rPr>
          <w:sz w:val="26"/>
          <w:szCs w:val="26"/>
          <w:rtl/>
          <w:lang w:bidi="ar-DZ"/>
        </w:rPr>
      </w:pPr>
    </w:p>
  </w:footnote>
  <w:footnote w:id="4">
    <w:p w:rsidR="0086281E" w:rsidRPr="00C542A5" w:rsidRDefault="0086281E" w:rsidP="00C137A4">
      <w:pPr>
        <w:pStyle w:val="Notedebasdepage"/>
        <w:bidi/>
        <w:rPr>
          <w:sz w:val="26"/>
          <w:szCs w:val="26"/>
          <w:rtl/>
          <w:lang w:bidi="ar-DZ"/>
        </w:rPr>
      </w:pPr>
      <w:r w:rsidRPr="00C542A5">
        <w:rPr>
          <w:rStyle w:val="Appelnotedebasdep"/>
          <w:sz w:val="26"/>
          <w:szCs w:val="26"/>
        </w:rPr>
        <w:footnoteRef/>
      </w:r>
      <w:r w:rsidRPr="00C542A5">
        <w:rPr>
          <w:sz w:val="26"/>
          <w:szCs w:val="26"/>
        </w:rPr>
        <w:t xml:space="preserve"> </w:t>
      </w:r>
      <w:r w:rsidRPr="00C542A5">
        <w:rPr>
          <w:rFonts w:hint="cs"/>
          <w:sz w:val="26"/>
          <w:szCs w:val="26"/>
          <w:rtl/>
          <w:lang w:bidi="ar-DZ"/>
        </w:rPr>
        <w:t>- المادة 32 من نفس القانون.</w:t>
      </w:r>
    </w:p>
  </w:footnote>
  <w:footnote w:id="5">
    <w:p w:rsidR="0086281E" w:rsidRPr="00C542A5" w:rsidRDefault="0086281E" w:rsidP="006D321D">
      <w:pPr>
        <w:pStyle w:val="Notedebasdepage"/>
        <w:bidi/>
        <w:rPr>
          <w:sz w:val="26"/>
          <w:szCs w:val="26"/>
          <w:rtl/>
          <w:lang w:bidi="ar-DZ"/>
        </w:rPr>
      </w:pPr>
      <w:r w:rsidRPr="00C542A5">
        <w:rPr>
          <w:rStyle w:val="Appelnotedebasdep"/>
          <w:sz w:val="26"/>
          <w:szCs w:val="26"/>
        </w:rPr>
        <w:footnoteRef/>
      </w:r>
      <w:r w:rsidRPr="00C542A5">
        <w:rPr>
          <w:sz w:val="26"/>
          <w:szCs w:val="26"/>
        </w:rPr>
        <w:t xml:space="preserve"> </w:t>
      </w:r>
      <w:r w:rsidRPr="00C542A5">
        <w:rPr>
          <w:rFonts w:hint="cs"/>
          <w:sz w:val="26"/>
          <w:szCs w:val="26"/>
          <w:rtl/>
          <w:lang w:bidi="ar-DZ"/>
        </w:rPr>
        <w:t>-القانون العضوي رقم 12/04 المؤرخ في المؤرخ في 12 يناير 2012 يتعلق بالأحزاب السياسية، ج ر عدد 2 الصادرة بتاريخ 15 يناير 2012، ص9.</w:t>
      </w:r>
    </w:p>
  </w:footnote>
  <w:footnote w:id="6">
    <w:p w:rsidR="0086281E" w:rsidRPr="00C542A5" w:rsidRDefault="0086281E" w:rsidP="006D321D">
      <w:pPr>
        <w:pStyle w:val="Notedebasdepage"/>
        <w:bidi/>
        <w:rPr>
          <w:sz w:val="26"/>
          <w:szCs w:val="26"/>
          <w:rtl/>
          <w:lang w:bidi="ar-DZ"/>
        </w:rPr>
      </w:pPr>
      <w:r w:rsidRPr="00C542A5">
        <w:rPr>
          <w:rStyle w:val="Appelnotedebasdep"/>
          <w:sz w:val="26"/>
          <w:szCs w:val="26"/>
        </w:rPr>
        <w:footnoteRef/>
      </w:r>
      <w:r w:rsidRPr="00C542A5">
        <w:rPr>
          <w:sz w:val="26"/>
          <w:szCs w:val="26"/>
        </w:rPr>
        <w:t xml:space="preserve"> </w:t>
      </w:r>
      <w:r w:rsidRPr="00C542A5">
        <w:rPr>
          <w:rFonts w:hint="cs"/>
          <w:sz w:val="26"/>
          <w:szCs w:val="26"/>
          <w:rtl/>
          <w:lang w:bidi="ar-DZ"/>
        </w:rPr>
        <w:t>- المادة 71 من قانون الأحزاب السياسية.</w:t>
      </w:r>
    </w:p>
  </w:footnote>
  <w:footnote w:id="7">
    <w:p w:rsidR="002E7AC6" w:rsidRPr="00C542A5" w:rsidRDefault="002E7AC6" w:rsidP="002E7AC6">
      <w:pPr>
        <w:pStyle w:val="Notedebasdepage"/>
        <w:bidi/>
        <w:rPr>
          <w:rFonts w:hint="cs"/>
          <w:sz w:val="26"/>
          <w:szCs w:val="26"/>
          <w:rtl/>
          <w:lang w:bidi="ar-DZ"/>
        </w:rPr>
      </w:pPr>
      <w:r w:rsidRPr="00C542A5">
        <w:rPr>
          <w:rStyle w:val="Appelnotedebasdep"/>
          <w:sz w:val="26"/>
          <w:szCs w:val="26"/>
        </w:rPr>
        <w:footnoteRef/>
      </w:r>
      <w:r w:rsidRPr="00C542A5">
        <w:rPr>
          <w:sz w:val="26"/>
          <w:szCs w:val="26"/>
        </w:rPr>
        <w:t xml:space="preserve"> </w:t>
      </w:r>
      <w:r w:rsidRPr="00C542A5">
        <w:rPr>
          <w:rFonts w:hint="cs"/>
          <w:sz w:val="26"/>
          <w:szCs w:val="26"/>
          <w:rtl/>
          <w:lang w:bidi="ar-DZ"/>
        </w:rPr>
        <w:t>- القانون العضوي 16/10 المؤرخ في 25 غشت 2016 يتعلق بنظام الانتخابات، ج ر عدد 50 الصادرة بتاريخ 28 غشت 2016، ص9.</w:t>
      </w:r>
    </w:p>
  </w:footnote>
  <w:footnote w:id="8">
    <w:p w:rsidR="007700BC" w:rsidRPr="00C542A5" w:rsidRDefault="007700BC" w:rsidP="007700BC">
      <w:pPr>
        <w:pStyle w:val="Notedebasdepage"/>
        <w:bidi/>
        <w:rPr>
          <w:rFonts w:hint="cs"/>
          <w:sz w:val="26"/>
          <w:szCs w:val="26"/>
          <w:rtl/>
          <w:lang w:bidi="ar-DZ"/>
        </w:rPr>
      </w:pPr>
      <w:r w:rsidRPr="00C542A5">
        <w:rPr>
          <w:rStyle w:val="Appelnotedebasdep"/>
          <w:sz w:val="26"/>
          <w:szCs w:val="26"/>
        </w:rPr>
        <w:footnoteRef/>
      </w:r>
      <w:r w:rsidRPr="00C542A5">
        <w:rPr>
          <w:sz w:val="26"/>
          <w:szCs w:val="26"/>
        </w:rPr>
        <w:t xml:space="preserve"> </w:t>
      </w:r>
      <w:r w:rsidRPr="00C542A5">
        <w:rPr>
          <w:rFonts w:hint="cs"/>
          <w:sz w:val="26"/>
          <w:szCs w:val="26"/>
          <w:rtl/>
        </w:rPr>
        <w:t>- انظر المادة 78 من نفس القانون العضوي.</w:t>
      </w:r>
    </w:p>
  </w:footnote>
  <w:footnote w:id="9">
    <w:p w:rsidR="002000D8" w:rsidRPr="00C542A5" w:rsidRDefault="002000D8" w:rsidP="002000D8">
      <w:pPr>
        <w:pStyle w:val="Notedebasdepage"/>
        <w:bidi/>
        <w:rPr>
          <w:rFonts w:hint="cs"/>
          <w:sz w:val="26"/>
          <w:szCs w:val="26"/>
          <w:rtl/>
          <w:lang w:bidi="ar-DZ"/>
        </w:rPr>
      </w:pPr>
      <w:r w:rsidRPr="00C542A5">
        <w:rPr>
          <w:rStyle w:val="Appelnotedebasdep"/>
          <w:sz w:val="26"/>
          <w:szCs w:val="26"/>
        </w:rPr>
        <w:footnoteRef/>
      </w:r>
      <w:r w:rsidRPr="00C542A5">
        <w:rPr>
          <w:sz w:val="26"/>
          <w:szCs w:val="26"/>
        </w:rPr>
        <w:t xml:space="preserve"> </w:t>
      </w:r>
      <w:r w:rsidRPr="00C542A5">
        <w:rPr>
          <w:rFonts w:hint="cs"/>
          <w:sz w:val="26"/>
          <w:szCs w:val="26"/>
          <w:rtl/>
          <w:lang w:bidi="ar-DZ"/>
        </w:rPr>
        <w:t>- انظر المادة 98 من نفس القانون العضوي.</w:t>
      </w:r>
    </w:p>
  </w:footnote>
  <w:footnote w:id="10">
    <w:p w:rsidR="002000D8" w:rsidRPr="00C542A5" w:rsidRDefault="002000D8" w:rsidP="002000D8">
      <w:pPr>
        <w:pStyle w:val="Notedebasdepage"/>
        <w:bidi/>
        <w:rPr>
          <w:rFonts w:hint="cs"/>
          <w:sz w:val="26"/>
          <w:szCs w:val="26"/>
          <w:rtl/>
          <w:lang w:bidi="ar-DZ"/>
        </w:rPr>
      </w:pPr>
      <w:r w:rsidRPr="00C542A5">
        <w:rPr>
          <w:rStyle w:val="Appelnotedebasdep"/>
          <w:sz w:val="26"/>
          <w:szCs w:val="26"/>
        </w:rPr>
        <w:footnoteRef/>
      </w:r>
      <w:r w:rsidRPr="00C542A5">
        <w:rPr>
          <w:sz w:val="26"/>
          <w:szCs w:val="26"/>
        </w:rPr>
        <w:t xml:space="preserve"> </w:t>
      </w:r>
      <w:r w:rsidRPr="00C542A5">
        <w:rPr>
          <w:rFonts w:hint="cs"/>
          <w:sz w:val="26"/>
          <w:szCs w:val="26"/>
          <w:rtl/>
        </w:rPr>
        <w:t>- انظر المادة 116 من نفس القانون.</w:t>
      </w:r>
    </w:p>
  </w:footnote>
  <w:footnote w:id="11">
    <w:p w:rsidR="002000D8" w:rsidRPr="00C542A5" w:rsidRDefault="002000D8" w:rsidP="002000D8">
      <w:pPr>
        <w:pStyle w:val="Notedebasdepage"/>
        <w:bidi/>
        <w:rPr>
          <w:rFonts w:hint="cs"/>
          <w:sz w:val="26"/>
          <w:szCs w:val="26"/>
          <w:rtl/>
          <w:lang w:bidi="ar-DZ"/>
        </w:rPr>
      </w:pPr>
      <w:r w:rsidRPr="00C542A5">
        <w:rPr>
          <w:rStyle w:val="Appelnotedebasdep"/>
          <w:sz w:val="26"/>
          <w:szCs w:val="26"/>
        </w:rPr>
        <w:footnoteRef/>
      </w:r>
      <w:r w:rsidRPr="00C542A5">
        <w:rPr>
          <w:sz w:val="26"/>
          <w:szCs w:val="26"/>
        </w:rPr>
        <w:t xml:space="preserve"> </w:t>
      </w:r>
      <w:r w:rsidRPr="00C542A5">
        <w:rPr>
          <w:rFonts w:hint="cs"/>
          <w:sz w:val="26"/>
          <w:szCs w:val="26"/>
          <w:rtl/>
          <w:lang w:bidi="ar-DZ"/>
        </w:rPr>
        <w:t>- انظر المادة 170 من نفس القانون العضوي</w:t>
      </w:r>
    </w:p>
  </w:footnote>
  <w:footnote w:id="12">
    <w:p w:rsidR="00C542A5" w:rsidRPr="00C542A5" w:rsidRDefault="00C542A5" w:rsidP="00C542A5">
      <w:pPr>
        <w:pStyle w:val="Notedebasdepage"/>
        <w:bidi/>
        <w:rPr>
          <w:rFonts w:hint="cs"/>
          <w:sz w:val="26"/>
          <w:szCs w:val="26"/>
          <w:rtl/>
          <w:lang w:bidi="ar-DZ"/>
        </w:rPr>
      </w:pPr>
      <w:r w:rsidRPr="00C542A5">
        <w:rPr>
          <w:rStyle w:val="Appelnotedebasdep"/>
          <w:sz w:val="26"/>
          <w:szCs w:val="26"/>
        </w:rPr>
        <w:footnoteRef/>
      </w:r>
      <w:r w:rsidRPr="00C542A5">
        <w:rPr>
          <w:sz w:val="26"/>
          <w:szCs w:val="26"/>
        </w:rPr>
        <w:t xml:space="preserve"> </w:t>
      </w:r>
      <w:r w:rsidRPr="00C542A5">
        <w:rPr>
          <w:rFonts w:hint="cs"/>
          <w:sz w:val="26"/>
          <w:szCs w:val="26"/>
          <w:rtl/>
          <w:lang w:bidi="ar-DZ"/>
        </w:rPr>
        <w:t>- انظر المادة 171 من نفس القانون العضوي.</w:t>
      </w:r>
    </w:p>
  </w:footnote>
  <w:footnote w:id="13">
    <w:p w:rsidR="00C542A5" w:rsidRPr="00C542A5" w:rsidRDefault="00C542A5" w:rsidP="00C542A5">
      <w:pPr>
        <w:pStyle w:val="Notedebasdepage"/>
        <w:bidi/>
        <w:rPr>
          <w:rFonts w:hint="cs"/>
          <w:sz w:val="26"/>
          <w:szCs w:val="26"/>
          <w:rtl/>
          <w:lang w:bidi="ar-DZ"/>
        </w:rPr>
      </w:pPr>
      <w:r w:rsidRPr="00C542A5">
        <w:rPr>
          <w:rStyle w:val="Appelnotedebasdep"/>
          <w:sz w:val="26"/>
          <w:szCs w:val="26"/>
        </w:rPr>
        <w:footnoteRef/>
      </w:r>
      <w:r w:rsidRPr="00C542A5">
        <w:rPr>
          <w:sz w:val="26"/>
          <w:szCs w:val="26"/>
        </w:rPr>
        <w:t xml:space="preserve"> </w:t>
      </w:r>
      <w:r w:rsidRPr="00C542A5">
        <w:rPr>
          <w:rFonts w:hint="cs"/>
          <w:sz w:val="26"/>
          <w:szCs w:val="26"/>
          <w:rtl/>
          <w:lang w:bidi="ar-DZ"/>
        </w:rPr>
        <w:t>- انظر المادة 172 من نفس القانون العضوي.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4A414F"/>
    <w:multiLevelType w:val="hybridMultilevel"/>
    <w:tmpl w:val="53D6BE7A"/>
    <w:lvl w:ilvl="0" w:tplc="F874108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1CF"/>
    <w:rsid w:val="001525C7"/>
    <w:rsid w:val="001F7A5F"/>
    <w:rsid w:val="002000D8"/>
    <w:rsid w:val="00274596"/>
    <w:rsid w:val="002E7AC6"/>
    <w:rsid w:val="00382473"/>
    <w:rsid w:val="00501215"/>
    <w:rsid w:val="005111FA"/>
    <w:rsid w:val="005D2F59"/>
    <w:rsid w:val="00690745"/>
    <w:rsid w:val="006D321D"/>
    <w:rsid w:val="007700BC"/>
    <w:rsid w:val="00815000"/>
    <w:rsid w:val="0086281E"/>
    <w:rsid w:val="009901CF"/>
    <w:rsid w:val="00A521C7"/>
    <w:rsid w:val="00AE0DB5"/>
    <w:rsid w:val="00BB5B6B"/>
    <w:rsid w:val="00C137A4"/>
    <w:rsid w:val="00C320B7"/>
    <w:rsid w:val="00C35A7E"/>
    <w:rsid w:val="00C542A5"/>
    <w:rsid w:val="00D72B1C"/>
    <w:rsid w:val="00F27930"/>
    <w:rsid w:val="00F329AF"/>
    <w:rsid w:val="00F5046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ED95C-556C-4448-B697-64C6EF4A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Simplified Arabic"/>
        <w:sz w:val="24"/>
        <w:szCs w:val="24"/>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B5B6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B5B6B"/>
    <w:rPr>
      <w:sz w:val="20"/>
      <w:szCs w:val="20"/>
    </w:rPr>
  </w:style>
  <w:style w:type="character" w:styleId="Appelnotedebasdep">
    <w:name w:val="footnote reference"/>
    <w:basedOn w:val="Policepardfaut"/>
    <w:uiPriority w:val="99"/>
    <w:semiHidden/>
    <w:unhideWhenUsed/>
    <w:rsid w:val="00BB5B6B"/>
    <w:rPr>
      <w:vertAlign w:val="superscript"/>
    </w:rPr>
  </w:style>
  <w:style w:type="paragraph" w:styleId="Paragraphedeliste">
    <w:name w:val="List Paragraph"/>
    <w:basedOn w:val="Normal"/>
    <w:uiPriority w:val="34"/>
    <w:qFormat/>
    <w:rsid w:val="007700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263F5-1B1D-4594-AB09-A07F4F9BA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4</Pages>
  <Words>792</Words>
  <Characters>4357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HP-EliteBook 745</dc:creator>
  <cp:keywords/>
  <dc:description/>
  <cp:lastModifiedBy>HP-EliteBook 745</cp:lastModifiedBy>
  <cp:revision>3</cp:revision>
  <dcterms:created xsi:type="dcterms:W3CDTF">2021-03-10T14:15:00Z</dcterms:created>
  <dcterms:modified xsi:type="dcterms:W3CDTF">2021-03-10T22:04:00Z</dcterms:modified>
</cp:coreProperties>
</file>