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F9" w:rsidRPr="00A46485" w:rsidRDefault="001C61F9" w:rsidP="001C61F9">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الفصل </w:t>
      </w:r>
      <w:proofErr w:type="gramStart"/>
      <w:r>
        <w:rPr>
          <w:rFonts w:ascii="Simplified Arabic" w:hAnsi="Simplified Arabic" w:cs="Simplified Arabic" w:hint="cs"/>
          <w:b/>
          <w:bCs/>
          <w:sz w:val="28"/>
          <w:szCs w:val="28"/>
          <w:rtl/>
          <w:lang w:bidi="ar-DZ"/>
        </w:rPr>
        <w:t>التمهيدي :</w:t>
      </w:r>
      <w:proofErr w:type="gramEnd"/>
      <w:r>
        <w:rPr>
          <w:rFonts w:ascii="Simplified Arabic" w:hAnsi="Simplified Arabic" w:cs="Simplified Arabic" w:hint="cs"/>
          <w:b/>
          <w:bCs/>
          <w:sz w:val="28"/>
          <w:szCs w:val="28"/>
          <w:rtl/>
          <w:lang w:bidi="ar-DZ"/>
        </w:rPr>
        <w:t xml:space="preserve"> مبدأ المشروعية</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rPr>
        <w:t xml:space="preserve">    يمثل مبدأ المشروعية </w:t>
      </w:r>
      <w:r w:rsidRPr="00A46485">
        <w:rPr>
          <w:rFonts w:ascii="Simplified Arabic" w:hAnsi="Simplified Arabic" w:cs="Simplified Arabic"/>
          <w:sz w:val="28"/>
          <w:szCs w:val="28"/>
          <w:rtl/>
          <w:lang w:bidi="ar-DZ"/>
        </w:rPr>
        <w:t xml:space="preserve">أهم المبادئ القانونية التي تقوم عليها الدولة الديمقراطية وطابعا مميزا للدولة </w:t>
      </w:r>
      <w:proofErr w:type="gramStart"/>
      <w:r w:rsidRPr="00A46485">
        <w:rPr>
          <w:rFonts w:ascii="Simplified Arabic" w:hAnsi="Simplified Arabic" w:cs="Simplified Arabic"/>
          <w:sz w:val="28"/>
          <w:szCs w:val="28"/>
          <w:rtl/>
          <w:lang w:bidi="ar-DZ"/>
        </w:rPr>
        <w:t>الحديثة ،</w:t>
      </w:r>
      <w:proofErr w:type="gramEnd"/>
      <w:r w:rsidRPr="00A46485">
        <w:rPr>
          <w:rFonts w:ascii="Simplified Arabic" w:hAnsi="Simplified Arabic" w:cs="Simplified Arabic"/>
          <w:sz w:val="28"/>
          <w:szCs w:val="28"/>
          <w:rtl/>
          <w:lang w:bidi="ar-DZ"/>
        </w:rPr>
        <w:t xml:space="preserve"> حيث يعد الضمانة الجوهرية للحقوق والحريات العامة ، إذ يبلور هذا المبدأ كل ما استطاعت الشعوب أن تحرزه من مكاسب في صراعها مع السلطات الحاكمة ، فقد انتهت العهود التي كانت فيها الدولة مستبدة ، لا يخضع فيها كل الحكام والمحكومين للقانون.</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lang w:bidi="ar-DZ"/>
        </w:rPr>
        <w:t xml:space="preserve">فالسيادة في الوقت الراهن للقانون ومن ثم تلتزم السلطة </w:t>
      </w:r>
      <w:proofErr w:type="gramStart"/>
      <w:r w:rsidRPr="00A46485">
        <w:rPr>
          <w:rFonts w:ascii="Simplified Arabic" w:hAnsi="Simplified Arabic" w:cs="Simplified Arabic"/>
          <w:sz w:val="28"/>
          <w:szCs w:val="28"/>
          <w:rtl/>
          <w:lang w:bidi="ar-DZ"/>
        </w:rPr>
        <w:t>الحاكمة ،</w:t>
      </w:r>
      <w:proofErr w:type="gramEnd"/>
      <w:r w:rsidRPr="00A46485">
        <w:rPr>
          <w:rFonts w:ascii="Simplified Arabic" w:hAnsi="Simplified Arabic" w:cs="Simplified Arabic"/>
          <w:sz w:val="28"/>
          <w:szCs w:val="28"/>
          <w:rtl/>
          <w:lang w:bidi="ar-DZ"/>
        </w:rPr>
        <w:t xml:space="preserve"> شأنها في ذلك شأن الأفراد المحكومين بإطاعة أوامره ونواهيه والخضوع  لقواعد والتزام أحكامه.</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lang w:bidi="ar-DZ"/>
        </w:rPr>
        <w:t xml:space="preserve">ولما كان مبدأ المشروعية هو الأساس الذي ترتكز عليه الرقابة القضائية لأعمال </w:t>
      </w:r>
      <w:proofErr w:type="gramStart"/>
      <w:r w:rsidRPr="00A46485">
        <w:rPr>
          <w:rFonts w:ascii="Simplified Arabic" w:hAnsi="Simplified Arabic" w:cs="Simplified Arabic"/>
          <w:sz w:val="28"/>
          <w:szCs w:val="28"/>
          <w:rtl/>
          <w:lang w:bidi="ar-DZ"/>
        </w:rPr>
        <w:t>الإدارة ،</w:t>
      </w:r>
      <w:proofErr w:type="gramEnd"/>
      <w:r w:rsidRPr="00A46485">
        <w:rPr>
          <w:rFonts w:ascii="Simplified Arabic" w:hAnsi="Simplified Arabic" w:cs="Simplified Arabic"/>
          <w:sz w:val="28"/>
          <w:szCs w:val="28"/>
          <w:rtl/>
          <w:lang w:bidi="ar-DZ"/>
        </w:rPr>
        <w:t xml:space="preserve"> والمحور الذي تدور حوله موضوعات المنازعة الإدارية ، سنتناوله بشيء من التفصيل بحيث يخصص المبحث الأول منه لمفهوم مبدأ المشروعية ، ويشمل المبحث الثاني رقابة المشروعية على النحو التالي:  </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المبحث الأول: مفهوم مبدأ المشروعية ومصادرها</w:t>
      </w:r>
    </w:p>
    <w:p w:rsidR="001C61F9" w:rsidRPr="00A46485" w:rsidRDefault="001C61F9" w:rsidP="001C61F9">
      <w:pPr>
        <w:jc w:val="right"/>
        <w:rPr>
          <w:rFonts w:ascii="Simplified Arabic" w:hAnsi="Simplified Arabic" w:cs="Simplified Arabic"/>
          <w:sz w:val="28"/>
          <w:szCs w:val="28"/>
          <w:rtl/>
          <w:lang w:bidi="ar-DZ"/>
        </w:rPr>
      </w:pPr>
      <w:r w:rsidRPr="00A46485">
        <w:rPr>
          <w:rFonts w:ascii="Simplified Arabic" w:hAnsi="Simplified Arabic" w:cs="Simplified Arabic"/>
          <w:sz w:val="28"/>
          <w:szCs w:val="28"/>
          <w:rtl/>
          <w:lang w:bidi="ar-DZ"/>
        </w:rPr>
        <w:t xml:space="preserve"> يقتضي البحث عن مبدأ المشروعية تحديدا لمفهومها وإيضاحا </w:t>
      </w:r>
      <w:proofErr w:type="gramStart"/>
      <w:r w:rsidRPr="00A46485">
        <w:rPr>
          <w:rFonts w:ascii="Simplified Arabic" w:hAnsi="Simplified Arabic" w:cs="Simplified Arabic"/>
          <w:sz w:val="28"/>
          <w:szCs w:val="28"/>
          <w:rtl/>
          <w:lang w:bidi="ar-DZ"/>
        </w:rPr>
        <w:t>لمصادرها ،</w:t>
      </w:r>
      <w:proofErr w:type="gramEnd"/>
      <w:r w:rsidRPr="00A46485">
        <w:rPr>
          <w:rFonts w:ascii="Simplified Arabic" w:hAnsi="Simplified Arabic" w:cs="Simplified Arabic"/>
          <w:sz w:val="28"/>
          <w:szCs w:val="28"/>
          <w:rtl/>
          <w:lang w:bidi="ar-DZ"/>
        </w:rPr>
        <w:t xml:space="preserve"> وعليه تتحدد دراسة هذا المبحث في مطلبين ، نوضح في الأول مفهوم المشروعية لنتبين نطاق تطبيقها بالنسبة لأعمال الإدارة وفي المطلب الثاني ، مصادر المشروعية وتدرجها حسب التقسيم الآتي:</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 xml:space="preserve"> المطلب الأول: مفهوم مبدأ المشروعية</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 xml:space="preserve"> الفرع الأول: المقصود بمبدأ المشروعية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lang w:bidi="ar-DZ"/>
        </w:rPr>
        <w:t xml:space="preserve"> </w:t>
      </w:r>
      <w:r w:rsidRPr="00A46485">
        <w:rPr>
          <w:rFonts w:ascii="Simplified Arabic" w:hAnsi="Simplified Arabic" w:cs="Simplified Arabic"/>
          <w:sz w:val="28"/>
          <w:szCs w:val="28"/>
          <w:rtl/>
        </w:rPr>
        <w:t xml:space="preserve">يأخذ تحديد معنى مبدأ المشروعية مفهومين، أحدهما واسع وأخر </w:t>
      </w:r>
      <w:proofErr w:type="gramStart"/>
      <w:r w:rsidRPr="00A46485">
        <w:rPr>
          <w:rFonts w:ascii="Simplified Arabic" w:hAnsi="Simplified Arabic" w:cs="Simplified Arabic"/>
          <w:sz w:val="28"/>
          <w:szCs w:val="28"/>
          <w:rtl/>
        </w:rPr>
        <w:t>ضيق .</w:t>
      </w:r>
      <w:proofErr w:type="gramEnd"/>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lang w:bidi="ar-DZ"/>
        </w:rPr>
        <w:t xml:space="preserve"> </w:t>
      </w:r>
      <w:r w:rsidRPr="00A46485">
        <w:rPr>
          <w:rFonts w:ascii="Simplified Arabic" w:hAnsi="Simplified Arabic" w:cs="Simplified Arabic"/>
          <w:b/>
          <w:bCs/>
          <w:sz w:val="28"/>
          <w:szCs w:val="28"/>
          <w:rtl/>
        </w:rPr>
        <w:t>فالمعنى الواسع:</w:t>
      </w:r>
      <w:r w:rsidRPr="00A46485">
        <w:rPr>
          <w:rFonts w:ascii="Simplified Arabic" w:hAnsi="Simplified Arabic" w:cs="Simplified Arabic"/>
          <w:sz w:val="28"/>
          <w:szCs w:val="28"/>
          <w:rtl/>
        </w:rPr>
        <w:t xml:space="preserve"> نعني به سيادة القانون بمعنى خضوع جميع الأشخاص بما فيها السلطة العامة بكل هيئاتها وأجهزتها للقواعد القانونية السارية بالدولة.</w:t>
      </w:r>
      <w:r w:rsidRPr="00A46485">
        <w:rPr>
          <w:rStyle w:val="Appelnotedebasdep"/>
          <w:rFonts w:ascii="Simplified Arabic" w:hAnsi="Simplified Arabic" w:cs="Simplified Arabic"/>
          <w:sz w:val="28"/>
          <w:szCs w:val="28"/>
          <w:rtl/>
        </w:rPr>
        <w:footnoteReference w:id="1"/>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أما المعنى الضيق:</w:t>
      </w:r>
      <w:r w:rsidRPr="00A46485">
        <w:rPr>
          <w:rFonts w:ascii="Simplified Arabic" w:hAnsi="Simplified Arabic" w:cs="Simplified Arabic"/>
          <w:sz w:val="28"/>
          <w:szCs w:val="28"/>
          <w:rtl/>
        </w:rPr>
        <w:t xml:space="preserve"> وهذا الذي يهمنا في هذا المقياس وهو محل الدراسة، فهو فكرة قانونية معناها خضوع الأعمال والتصرفات الصادرة عن الإدارة العامة للنظام القانوني السائد في الدولة بمختلف قواعده. وهو ما يعبر عنه بالمشروعية الإدارية.</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sz w:val="28"/>
          <w:szCs w:val="28"/>
          <w:rtl/>
        </w:rPr>
        <w:lastRenderedPageBreak/>
        <w:t xml:space="preserve">  إذا مبدأ المشروعية في أساسه وجوهره يهدف إلى حماية حقوق وحريات الأفراد، من خلال إلزام الإدارة باحترام حكم القانون وهي بصدد القيام بتصرفاتها مهما كان نوعها، قانونية (عقد، قرار إداري) أو مادية إيجابية أو سلبية.</w:t>
      </w:r>
    </w:p>
    <w:p w:rsidR="001C61F9" w:rsidRPr="00A46485" w:rsidRDefault="001C61F9" w:rsidP="001C61F9">
      <w:pPr>
        <w:jc w:val="right"/>
        <w:rPr>
          <w:rFonts w:ascii="Simplified Arabic" w:hAnsi="Simplified Arabic" w:cs="Simplified Arabic"/>
          <w:b/>
          <w:bCs/>
          <w:sz w:val="28"/>
          <w:szCs w:val="28"/>
          <w:rtl/>
          <w:lang w:bidi="ar-DZ"/>
        </w:rPr>
      </w:pPr>
      <w:r w:rsidRPr="00A46485">
        <w:rPr>
          <w:rFonts w:ascii="Simplified Arabic" w:hAnsi="Simplified Arabic" w:cs="Simplified Arabic"/>
          <w:b/>
          <w:bCs/>
          <w:sz w:val="28"/>
          <w:szCs w:val="28"/>
          <w:rtl/>
          <w:lang w:bidi="ar-DZ"/>
        </w:rPr>
        <w:t xml:space="preserve"> الفرع الثاني: نطاق مبدأ المشروعية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يقتضي مبدأ المشروعية خضوع الإدارة للقانون بمعناه الواسع عند مباشرتها لنشاطاتها و لكن لا يصح أن ننظر إلى هذا الموضوع من جانب واحد و هو جانب الأفراد، حماية حقوق الأفراد بل يجب مراعاة وضع الإدارة و هي متارس نشاطات متعددة، فيجب أن تخول قدر من الحرية في مباشرتها </w:t>
      </w:r>
      <w:proofErr w:type="gramStart"/>
      <w:r w:rsidRPr="00A46485">
        <w:rPr>
          <w:rFonts w:ascii="Simplified Arabic" w:hAnsi="Simplified Arabic" w:cs="Simplified Arabic"/>
          <w:sz w:val="28"/>
          <w:szCs w:val="28"/>
          <w:rtl/>
        </w:rPr>
        <w:t>لوظيفتها ،</w:t>
      </w:r>
      <w:proofErr w:type="gramEnd"/>
      <w:r w:rsidRPr="00A46485">
        <w:rPr>
          <w:rFonts w:ascii="Simplified Arabic" w:hAnsi="Simplified Arabic" w:cs="Simplified Arabic"/>
          <w:sz w:val="28"/>
          <w:szCs w:val="28"/>
          <w:rtl/>
        </w:rPr>
        <w:t xml:space="preserve"> لكي تواجه الظروف و الملابسات المختلفة و تحقق رسالتها في خدمة الصالح العام، و اختيار الوسيلة المناسبة أو الوقت المناسب لاتخاذ قراراتها.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أولا: السلطة التقديرية: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تعتبر السلطة التقديرية قيدا يرد على مبدأ المشروعية وهو أن يترك لها قدر من الحرية عندما تباشر نشاطاتها وتختار الوسيلة المناسبة والوقت المناسب.</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تمتع الإدارة بسلطة تقديرية في الحالات التي يترك فيها القانون الإدارة حرة في تقدير الظروف </w:t>
      </w:r>
      <w:proofErr w:type="gramStart"/>
      <w:r w:rsidRPr="00A46485">
        <w:rPr>
          <w:rFonts w:ascii="Simplified Arabic" w:hAnsi="Simplified Arabic" w:cs="Simplified Arabic"/>
          <w:sz w:val="28"/>
          <w:szCs w:val="28"/>
          <w:rtl/>
        </w:rPr>
        <w:t>الواقعية  فيكون</w:t>
      </w:r>
      <w:proofErr w:type="gramEnd"/>
      <w:r w:rsidRPr="00A46485">
        <w:rPr>
          <w:rFonts w:ascii="Simplified Arabic" w:hAnsi="Simplified Arabic" w:cs="Simplified Arabic"/>
          <w:sz w:val="28"/>
          <w:szCs w:val="28"/>
          <w:rtl/>
        </w:rPr>
        <w:t xml:space="preserve"> لها الح أن تتدخل أو لا تتدخل بناء على تلك الظروف، كما يكون لها إذا رأت أن تتدخل أن تختار بحرية القرار الذي تراه ملائما مع هذه الظروف، و بالتالي فالموظف الإداري الذي له سلطة التقرير يكون له حالة وجود سلطة تقديرية،  الطرق في إصدار القرار أو عدمه كما أن له إذا تدخل الحق في تقدير ملائمة مضمون هذا القرار، فالقانون لم يقيد الموظف مقدما بسلوك معين.</w:t>
      </w:r>
      <w:r w:rsidRPr="00A46485">
        <w:rPr>
          <w:rStyle w:val="Appelnotedebasdep"/>
          <w:rFonts w:ascii="Simplified Arabic" w:hAnsi="Simplified Arabic" w:cs="Simplified Arabic"/>
          <w:sz w:val="28"/>
          <w:szCs w:val="28"/>
          <w:rtl/>
        </w:rPr>
        <w:footnoteReference w:id="2"/>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ومرد استبعاد القاضي الاداري من رقابة الملاءمة، مبدأ الفصل بين القاضيّ والإدارة المترتب عن مبدأ الفصل بين السلطات، فلا يستطيع القاضي أن يقدر ملاءمة التصرف للظرف والوقائع التي صدرت لمواجهتها لعدم إلمامه بالوظيفة الإدارية والظروف التي تحيط بالإدارة، وهي بصدد ممارسة سلطتها التقديرية.</w:t>
      </w:r>
      <w:r w:rsidRPr="00A46485">
        <w:rPr>
          <w:rStyle w:val="Appelnotedebasdep"/>
          <w:rFonts w:ascii="Simplified Arabic" w:hAnsi="Simplified Arabic" w:cs="Simplified Arabic"/>
          <w:sz w:val="28"/>
          <w:szCs w:val="28"/>
          <w:rtl/>
        </w:rPr>
        <w:footnoteReference w:id="3"/>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غير أن هذه القاعدة ليست مطلقة بل ترد عليها استثناءات خاصة في المجالات التي يكون فيها مساس بحقوق وحريات الأفراد كالمجال </w:t>
      </w:r>
      <w:proofErr w:type="gramStart"/>
      <w:r w:rsidRPr="00A46485">
        <w:rPr>
          <w:rFonts w:ascii="Simplified Arabic" w:hAnsi="Simplified Arabic" w:cs="Simplified Arabic"/>
          <w:sz w:val="28"/>
          <w:szCs w:val="28"/>
          <w:rtl/>
        </w:rPr>
        <w:t>التأديبي ،</w:t>
      </w:r>
      <w:proofErr w:type="gramEnd"/>
      <w:r w:rsidRPr="00A46485">
        <w:rPr>
          <w:rFonts w:ascii="Simplified Arabic" w:hAnsi="Simplified Arabic" w:cs="Simplified Arabic"/>
          <w:sz w:val="28"/>
          <w:szCs w:val="28"/>
          <w:rtl/>
        </w:rPr>
        <w:t xml:space="preserve"> حيث اتجه القضاء الإداري الجزائري إلى تمديد و بسط رقابته على مجال الملاءمة أي فرض رقابته على تقدير الإدارة لخطورة الوقائع التي تدعيها  ومدى تناسب العقوبة التأديبية مع الخطأ المهني الذي ارتكبه الموظف.</w:t>
      </w:r>
      <w:r w:rsidRPr="00A46485">
        <w:rPr>
          <w:rStyle w:val="Appelnotedebasdep"/>
          <w:rFonts w:ascii="Simplified Arabic" w:hAnsi="Simplified Arabic" w:cs="Simplified Arabic"/>
          <w:sz w:val="28"/>
          <w:szCs w:val="28"/>
          <w:rtl/>
        </w:rPr>
        <w:footnoteReference w:id="4"/>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الظروف الاستثنائية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يقصد بها وجود حالة واقعية تتمثل في فعل أو مجموعة أفعال تشكل خطرا يهدد قيام الدولة بصفة عامة والإدارة بصفة خاصة بوظائفها، سواء تمثل ذلك في إدارة المرافق العامة أو المحافظة على النظام العام في الدولة، مثل حالة الطوارئ والحصار، الحالة الاستثنائية، حالة الحرب،</w:t>
      </w:r>
      <w:r>
        <w:rPr>
          <w:rFonts w:ascii="Simplified Arabic" w:hAnsi="Simplified Arabic" w:cs="Simplified Arabic" w:hint="cs"/>
          <w:sz w:val="28"/>
          <w:szCs w:val="28"/>
          <w:rtl/>
        </w:rPr>
        <w:t xml:space="preserve"> وهو ما نص عليه التعديل الدستوري لسنة 2020 من المادة 97 إلى المادة 107 </w:t>
      </w:r>
      <w:r w:rsidRPr="00A46485">
        <w:rPr>
          <w:rStyle w:val="Appelnotedebasdep"/>
          <w:rFonts w:ascii="Simplified Arabic" w:hAnsi="Simplified Arabic" w:cs="Simplified Arabic"/>
          <w:sz w:val="28"/>
          <w:szCs w:val="28"/>
          <w:rtl/>
        </w:rPr>
        <w:footnoteReference w:id="5"/>
      </w:r>
      <w:r w:rsidRPr="00A46485">
        <w:rPr>
          <w:rFonts w:ascii="Simplified Arabic" w:hAnsi="Simplified Arabic" w:cs="Simplified Arabic"/>
          <w:sz w:val="28"/>
          <w:szCs w:val="28"/>
          <w:rtl/>
        </w:rPr>
        <w:t xml:space="preserve"> ووجود هذه الحالات يشكل السبب في قيام حالة الضرورة التي تقتضي بالخروج عن قواعد المشروعية، كما قد تكون ظروفا دولية أو داخلية كحدوث أزمات اقتصادية أو سياسية أو انتشار وباء مثل جائحة كورونا – كوفيد19</w:t>
      </w:r>
      <w:r w:rsidRPr="00A46485">
        <w:rPr>
          <w:rFonts w:ascii="Simplified Arabic" w:hAnsi="Simplified Arabic" w:cs="Simplified Arabic"/>
          <w:sz w:val="28"/>
          <w:szCs w:val="28"/>
          <w:rtl/>
        </w:rPr>
        <w:noBreakHyphen/>
        <w:t xml:space="preserve"> إلى غيرها  من حالات المساس الخطير بالنظام العام.</w:t>
      </w:r>
      <w:r w:rsidRPr="00A46485">
        <w:rPr>
          <w:rStyle w:val="Appelnotedebasdep"/>
          <w:rFonts w:ascii="Simplified Arabic" w:hAnsi="Simplified Arabic" w:cs="Simplified Arabic"/>
          <w:sz w:val="28"/>
          <w:szCs w:val="28"/>
          <w:rtl/>
        </w:rPr>
        <w:footnoteReference w:id="6"/>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 إذا كانت نظرية الظروف الاستثنائية يترتب عليها تحرر الإدارة من قواعد المشروعية بالقدر اللازم لمواجهة هذا </w:t>
      </w:r>
      <w:proofErr w:type="gramStart"/>
      <w:r w:rsidRPr="00A46485">
        <w:rPr>
          <w:rFonts w:ascii="Simplified Arabic" w:hAnsi="Simplified Arabic" w:cs="Simplified Arabic"/>
          <w:sz w:val="28"/>
          <w:szCs w:val="28"/>
          <w:rtl/>
        </w:rPr>
        <w:t>الظرف ،</w:t>
      </w:r>
      <w:proofErr w:type="gramEnd"/>
      <w:r w:rsidRPr="00A46485">
        <w:rPr>
          <w:rFonts w:ascii="Simplified Arabic" w:hAnsi="Simplified Arabic" w:cs="Simplified Arabic"/>
          <w:sz w:val="28"/>
          <w:szCs w:val="28"/>
          <w:rtl/>
        </w:rPr>
        <w:t xml:space="preserve"> حيث تتوازى المشروعية العادية لتحل محلها المشروعية الاستثنائية تبرر أعمال الادارة ، إلا أن ذلك ليس مطلق من كل قيد ٕ وإلا أصبحت النظرية ، مبررا لاعتداءات متكررة من جانب الادارة ولذلك وضع القضاء شروطا وضوابط تلتزم الادارة بها عند ممارستها لسلطاتها الاستثنائية والا غدت أعمالها مشوبة بالبطلان وتتمثل هذه الشروط فيما يلي: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وجود ظرف استثنائي يهدد قيام الادارة بوظائفها سواء تمثل ذلك في إدارة المرافق العامة أو المحافظة على النظام العام في الدولة مع استحالة دفع الخطر بالطرق القانونية العادية.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أن تكون الإدارة عاجزة عن مواجهة الخطر الذي يهدد أمن الدولة </w:t>
      </w:r>
      <w:proofErr w:type="gramStart"/>
      <w:r w:rsidRPr="00A46485">
        <w:rPr>
          <w:rFonts w:ascii="Simplified Arabic" w:hAnsi="Simplified Arabic" w:cs="Simplified Arabic"/>
          <w:sz w:val="28"/>
          <w:szCs w:val="28"/>
          <w:rtl/>
        </w:rPr>
        <w:t>وسلامتها ،</w:t>
      </w:r>
      <w:proofErr w:type="gramEnd"/>
      <w:r w:rsidRPr="00A46485">
        <w:rPr>
          <w:rFonts w:ascii="Simplified Arabic" w:hAnsi="Simplified Arabic" w:cs="Simplified Arabic"/>
          <w:sz w:val="28"/>
          <w:szCs w:val="28"/>
          <w:rtl/>
        </w:rPr>
        <w:t xml:space="preserve"> بحيث يعد الإجراء      أو التدبير الذي اتخذه الادارة إعمالا لنظرية الظروف الاستثنائية الاجراء الوحيد والملائم لدفع الخطر.</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أن يكون الهدف من تصرفاتها المتخذة في حالة الظروف الاستثنائية إلى تحقيق الصالح العام.</w:t>
      </w:r>
    </w:p>
    <w:p w:rsidR="001C61F9"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حرص القضاء الاداري على وجوب أن تتناسب السلطات الواسعة المستخدمة من جانب الإدارة مع الظرف الاستثنائي المراد مواجهة أخطاره، فإذا تجاوزت وتعسفت في استعمال سلطتها بما يفوق القدر اللازم والضروري لمواجهة الظرف </w:t>
      </w:r>
      <w:proofErr w:type="gramStart"/>
      <w:r w:rsidRPr="00A46485">
        <w:rPr>
          <w:rFonts w:ascii="Simplified Arabic" w:hAnsi="Simplified Arabic" w:cs="Simplified Arabic"/>
          <w:sz w:val="28"/>
          <w:szCs w:val="28"/>
          <w:rtl/>
        </w:rPr>
        <w:t>الاستثنائي ،</w:t>
      </w:r>
      <w:proofErr w:type="gramEnd"/>
      <w:r w:rsidRPr="00A46485">
        <w:rPr>
          <w:rFonts w:ascii="Simplified Arabic" w:hAnsi="Simplified Arabic" w:cs="Simplified Arabic"/>
          <w:sz w:val="28"/>
          <w:szCs w:val="28"/>
          <w:rtl/>
        </w:rPr>
        <w:t xml:space="preserve"> فإن قراراتها تعد غير مشروعة.</w:t>
      </w:r>
    </w:p>
    <w:p w:rsidR="001C61F9" w:rsidRPr="0099683A" w:rsidRDefault="001C61F9" w:rsidP="001C61F9">
      <w:pPr>
        <w:bidi/>
        <w:spacing w:after="200" w:line="276" w:lineRule="auto"/>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noBreakHyphen/>
      </w:r>
      <w:r w:rsidRPr="0099683A">
        <w:rPr>
          <w:rFonts w:ascii="Simplified Arabic" w:hAnsi="Simplified Arabic" w:cs="Simplified Arabic"/>
          <w:sz w:val="28"/>
          <w:szCs w:val="28"/>
          <w:rtl/>
          <w:lang w:bidi="ar-DZ"/>
        </w:rPr>
        <w:t>أن يكون الظرف الاستثنائي محدد بمدة زمنية معينة:</w:t>
      </w:r>
      <w:r>
        <w:rPr>
          <w:rFonts w:ascii="Simplified Arabic" w:hAnsi="Simplified Arabic" w:cs="Simplified Arabic" w:hint="cs"/>
          <w:b/>
          <w:bCs/>
          <w:sz w:val="28"/>
          <w:szCs w:val="28"/>
          <w:rtl/>
          <w:lang w:bidi="ar-DZ"/>
        </w:rPr>
        <w:t xml:space="preserve"> </w:t>
      </w:r>
      <w:r w:rsidRPr="00BA5D35">
        <w:rPr>
          <w:rFonts w:ascii="Simplified Arabic" w:hAnsi="Simplified Arabic" w:cs="Simplified Arabic"/>
          <w:sz w:val="28"/>
          <w:szCs w:val="28"/>
          <w:rtl/>
          <w:lang w:bidi="ar-DZ"/>
        </w:rPr>
        <w:t>يجب على الإدارة ممارسة صلاحياتها الاستثنائية في فترة الظرف الاستثنائي فقط فيمكن لها الخروج عن القواعد المشروعية العادية إلا في ذلك الظرف فتحدد نقطة انطلاق الظرف الاستثنائي ونهاية بدقة.</w:t>
      </w:r>
    </w:p>
    <w:p w:rsidR="001C61F9" w:rsidRPr="00A46485" w:rsidRDefault="001C61F9" w:rsidP="001C61F9">
      <w:pPr>
        <w:jc w:val="right"/>
        <w:rPr>
          <w:rFonts w:ascii="Simplified Arabic" w:hAnsi="Simplified Arabic" w:cs="Simplified Arabic"/>
          <w:sz w:val="28"/>
          <w:szCs w:val="28"/>
          <w:rtl/>
        </w:rPr>
      </w:pPr>
      <w:r w:rsidRPr="00BA5D35">
        <w:rPr>
          <w:rFonts w:ascii="Simplified Arabic" w:hAnsi="Simplified Arabic" w:cs="Simplified Arabic"/>
          <w:sz w:val="28"/>
          <w:szCs w:val="28"/>
          <w:rtl/>
          <w:lang w:bidi="ar-DZ"/>
        </w:rPr>
        <w:t>حيث يعد الظرف الاستثنائي عبارة عن مرحلة انتقالية، إلى حين إيجاد الحل المناسب للظرف حتى ترجع مؤسسات الدولة إلى حالاتها العادية.</w:t>
      </w:r>
    </w:p>
    <w:p w:rsidR="001C61F9" w:rsidRDefault="001C61F9" w:rsidP="001C61F9">
      <w:pPr>
        <w:bidi/>
        <w:rPr>
          <w:rFonts w:ascii="Simplified Arabic" w:hAnsi="Simplified Arabic" w:cs="Simplified Arabic"/>
          <w:b/>
          <w:bCs/>
          <w:sz w:val="28"/>
          <w:szCs w:val="28"/>
          <w:rtl/>
        </w:rPr>
      </w:pPr>
      <w:r>
        <w:rPr>
          <w:rFonts w:ascii="Simplified Arabic" w:hAnsi="Simplified Arabic" w:cs="Simplified Arabic" w:hint="cs"/>
          <w:b/>
          <w:bCs/>
          <w:sz w:val="28"/>
          <w:szCs w:val="28"/>
          <w:rtl/>
        </w:rPr>
        <w:t>* تمييز الظروف الاستثنائية عن السلطة التقديرية:</w:t>
      </w:r>
    </w:p>
    <w:p w:rsidR="001C61F9" w:rsidRPr="00BA5D35" w:rsidRDefault="001C61F9" w:rsidP="001C61F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DZ"/>
        </w:rPr>
        <w:t>تتفق</w:t>
      </w:r>
      <w:r w:rsidRPr="00BA5D35">
        <w:rPr>
          <w:rFonts w:ascii="Simplified Arabic" w:hAnsi="Simplified Arabic" w:cs="Simplified Arabic"/>
          <w:sz w:val="28"/>
          <w:szCs w:val="28"/>
          <w:rtl/>
          <w:lang w:bidi="ar-DZ"/>
        </w:rPr>
        <w:t xml:space="preserve"> نظرية السلطة التقديرية مع نظرية الظروف الاستثنائية،</w:t>
      </w:r>
      <w:r>
        <w:rPr>
          <w:rFonts w:ascii="Simplified Arabic" w:hAnsi="Simplified Arabic" w:cs="Simplified Arabic" w:hint="cs"/>
          <w:sz w:val="28"/>
          <w:szCs w:val="28"/>
          <w:rtl/>
          <w:lang w:bidi="ar-DZ"/>
        </w:rPr>
        <w:t xml:space="preserve"> في</w:t>
      </w:r>
      <w:r w:rsidRPr="00BA5D35">
        <w:rPr>
          <w:rFonts w:ascii="Simplified Arabic" w:hAnsi="Simplified Arabic" w:cs="Simplified Arabic"/>
          <w:sz w:val="28"/>
          <w:szCs w:val="28"/>
          <w:rtl/>
          <w:lang w:bidi="ar-DZ"/>
        </w:rPr>
        <w:t xml:space="preserve"> أن كل منهما يتضمن توسيعا لدائرة الاختصاص الممنوحة للإدارة، فالإدارة في كلا الحالتين تخضع لرقابة القضاء إلغاء وتعويضا، كما أنها مقيدة بتحقيق المصلحة العامة، حيث يجوز للقاضي أن يمد رقابته حتى إلى الملائمة.</w:t>
      </w:r>
      <w:r w:rsidRPr="00BA5D35">
        <w:rPr>
          <w:rStyle w:val="Appelnotedebasdep"/>
          <w:rFonts w:ascii="Simplified Arabic" w:hAnsi="Simplified Arabic" w:cs="Simplified Arabic"/>
          <w:sz w:val="28"/>
          <w:szCs w:val="28"/>
          <w:rtl/>
          <w:lang w:bidi="ar-DZ"/>
        </w:rPr>
        <w:footnoteReference w:id="7"/>
      </w:r>
    </w:p>
    <w:p w:rsidR="001C61F9" w:rsidRPr="00BA5D35" w:rsidRDefault="001C61F9" w:rsidP="001C61F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A5D35">
        <w:rPr>
          <w:rFonts w:ascii="Simplified Arabic" w:hAnsi="Simplified Arabic" w:cs="Simplified Arabic"/>
          <w:sz w:val="28"/>
          <w:szCs w:val="28"/>
          <w:rtl/>
          <w:lang w:bidi="ar-DZ"/>
        </w:rPr>
        <w:t>وعلى رغم من وجود نقاط تشابه بينهما، فهذا لا ينفي وجود أوجه اختلاف:</w:t>
      </w:r>
    </w:p>
    <w:p w:rsidR="001C61F9" w:rsidRPr="00CD6D02" w:rsidRDefault="001C61F9" w:rsidP="001C61F9">
      <w:pPr>
        <w:bidi/>
        <w:ind w:firstLine="708"/>
        <w:rPr>
          <w:rFonts w:ascii="Simplified Arabic" w:hAnsi="Simplified Arabic" w:cs="Simplified Arabic"/>
          <w:color w:val="C00000"/>
          <w:sz w:val="28"/>
          <w:szCs w:val="28"/>
          <w:rtl/>
          <w:lang w:bidi="ar-DZ"/>
        </w:rPr>
      </w:pPr>
      <w:r w:rsidRPr="00BA5D35">
        <w:rPr>
          <w:rFonts w:ascii="Simplified Arabic" w:hAnsi="Simplified Arabic" w:cs="Simplified Arabic"/>
          <w:sz w:val="28"/>
          <w:szCs w:val="28"/>
          <w:rtl/>
          <w:lang w:bidi="ar-DZ"/>
        </w:rPr>
        <w:t xml:space="preserve">- إن الاختصاص الممنوح للإدارة بمقتضى نظرية الظروف الاستثنائية أوسع من الاختصاصات التي تعطى للإدارة في ظل السلطة التقديرية فالإدارة في الظروف الاستثنائية لها أن </w:t>
      </w:r>
      <w:r w:rsidRPr="004172CD">
        <w:rPr>
          <w:rFonts w:ascii="Simplified Arabic" w:hAnsi="Simplified Arabic" w:cs="Simplified Arabic" w:hint="cs"/>
          <w:sz w:val="28"/>
          <w:szCs w:val="28"/>
          <w:rtl/>
          <w:lang w:bidi="ar-DZ"/>
        </w:rPr>
        <w:t>تخالف</w:t>
      </w:r>
      <w:r w:rsidRPr="00BA5D35">
        <w:rPr>
          <w:rFonts w:ascii="Simplified Arabic" w:hAnsi="Simplified Arabic" w:cs="Simplified Arabic"/>
          <w:sz w:val="28"/>
          <w:szCs w:val="28"/>
          <w:rtl/>
          <w:lang w:bidi="ar-DZ"/>
        </w:rPr>
        <w:t xml:space="preserve"> القواعد القانونية العادية، فتتخذ الإجراءات المنشودة لمواجهة الظروف الصعبة التي تتعرض لها.</w:t>
      </w:r>
      <w:r>
        <w:rPr>
          <w:rFonts w:ascii="Simplified Arabic" w:hAnsi="Simplified Arabic" w:cs="Simplified Arabic" w:hint="cs"/>
          <w:sz w:val="28"/>
          <w:szCs w:val="28"/>
          <w:rtl/>
          <w:lang w:bidi="ar-DZ"/>
        </w:rPr>
        <w:t xml:space="preserve"> </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أما في حالة السلطة التقديرية، فالإدارة تبقى تتصرف في حدود الشرعية العادية حتى ولو منحت لها حرية التصرف في نطاق مشروع.</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الاختصاصات التي تتمتع بها الإدارة في ظل الظروف الاستثنائية مرهونة ببقاء واستمرار هذه الظروف، لذا فإن اختصاصات الإدارة تكون مؤقتة.</w:t>
      </w:r>
    </w:p>
    <w:p w:rsidR="001C61F9" w:rsidRPr="004172CD" w:rsidRDefault="001C61F9" w:rsidP="001C61F9">
      <w:pPr>
        <w:bidi/>
        <w:ind w:firstLine="708"/>
        <w:rPr>
          <w:rFonts w:ascii="Simplified Arabic" w:hAnsi="Simplified Arabic" w:cs="Simplified Arabic"/>
          <w:color w:val="C00000"/>
          <w:sz w:val="28"/>
          <w:szCs w:val="28"/>
          <w:rtl/>
          <w:lang w:bidi="ar-DZ"/>
        </w:rPr>
      </w:pPr>
      <w:r w:rsidRPr="00BA5D35">
        <w:rPr>
          <w:rFonts w:ascii="Simplified Arabic" w:hAnsi="Simplified Arabic" w:cs="Simplified Arabic"/>
          <w:sz w:val="28"/>
          <w:szCs w:val="28"/>
          <w:rtl/>
          <w:lang w:bidi="ar-DZ"/>
        </w:rPr>
        <w:t>في حين الاختصاصات التي تتمتع بها الإدارة في ظل نظرية السلطة التقديرية لا تتوقف على فترة زمنية معينة، كما أنها لا تتصل بظروف محددة فمن حق الإدارة ممارستها سواء في ظل الظروف العادية أو الاستثنائية.</w:t>
      </w:r>
      <w:r w:rsidRPr="00CD6D02">
        <w:rPr>
          <w:rFonts w:ascii="Simplified Arabic" w:hAnsi="Simplified Arabic" w:cs="Simplified Arabic" w:hint="cs"/>
          <w:color w:val="C00000"/>
          <w:sz w:val="28"/>
          <w:szCs w:val="28"/>
          <w:rtl/>
          <w:lang w:bidi="ar-DZ"/>
        </w:rPr>
        <w:t xml:space="preserve"> </w:t>
      </w:r>
    </w:p>
    <w:p w:rsidR="001C61F9" w:rsidRPr="001C61F9" w:rsidRDefault="001C61F9" w:rsidP="001C61F9">
      <w:pPr>
        <w:bidi/>
        <w:ind w:firstLine="708"/>
        <w:rPr>
          <w:rFonts w:ascii="Simplified Arabic" w:hAnsi="Simplified Arabic" w:cs="Simplified Arabic"/>
          <w:color w:val="C00000"/>
          <w:sz w:val="28"/>
          <w:szCs w:val="28"/>
          <w:rtl/>
          <w:lang w:bidi="ar-DZ"/>
        </w:rPr>
      </w:pPr>
      <w:r w:rsidRPr="00BA5D35">
        <w:rPr>
          <w:rFonts w:ascii="Simplified Arabic" w:hAnsi="Simplified Arabic" w:cs="Simplified Arabic"/>
          <w:sz w:val="28"/>
          <w:szCs w:val="28"/>
          <w:rtl/>
          <w:lang w:bidi="ar-DZ"/>
        </w:rPr>
        <w:t>- إذا كان القضاء يمنح الإدارة التعدي على القواعد القانونية العادية في ظل الظروف الاستثنائية، فذلك مشروط بوجود خطر يهدد الإدارة ويصعب تداركه بواسطة القوانين العادية، غير أن الاختصاصات التقديرية التي تمارسها الإدارة فإن القضاء لا يشترط تلك الشروط فالإدارة هنا حرة في تقدير التصرفات التي تقوم بها.</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rPr>
        <w:t xml:space="preserve">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ثالثا: أعمال السيادة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تسمى أعمال السيادة في فرنسا بأعمال الحكومة وهي مجموعة من القرارات </w:t>
      </w:r>
      <w:proofErr w:type="gramStart"/>
      <w:r w:rsidRPr="00A46485">
        <w:rPr>
          <w:rFonts w:ascii="Simplified Arabic" w:hAnsi="Simplified Arabic" w:cs="Simplified Arabic"/>
          <w:sz w:val="28"/>
          <w:szCs w:val="28"/>
          <w:rtl/>
        </w:rPr>
        <w:t>و الأعمال</w:t>
      </w:r>
      <w:proofErr w:type="gramEnd"/>
      <w:r w:rsidRPr="00A46485">
        <w:rPr>
          <w:rFonts w:ascii="Simplified Arabic" w:hAnsi="Simplified Arabic" w:cs="Simplified Arabic"/>
          <w:sz w:val="28"/>
          <w:szCs w:val="28"/>
          <w:rtl/>
        </w:rPr>
        <w:t xml:space="preserve"> التي تصدر من السلطة</w:t>
      </w:r>
      <w:r>
        <w:rPr>
          <w:rFonts w:ascii="Simplified Arabic" w:hAnsi="Simplified Arabic" w:cs="Simplified Arabic"/>
          <w:sz w:val="28"/>
          <w:szCs w:val="28"/>
          <w:rtl/>
        </w:rPr>
        <w:t xml:space="preserve"> التنفيذية، و لكنها لا تخضع لأي</w:t>
      </w:r>
      <w:r w:rsidRPr="00A46485">
        <w:rPr>
          <w:rFonts w:ascii="Simplified Arabic" w:hAnsi="Simplified Arabic" w:cs="Simplified Arabic"/>
          <w:sz w:val="28"/>
          <w:szCs w:val="28"/>
          <w:rtl/>
        </w:rPr>
        <w:t xml:space="preserve"> رقابة قضائية سواء رقابة القضاء الإداري أو رقابة القضاء العادي، فهي أعمال تتمتع بحصانة عامة ضد كل رقابة قضائية، و من حيث مدى تلك الحصانة، فهو شامل مطلق لا يقتصر على استبعاد قضاء الإلغاء فقط بل أيضا قضاء التعويض.</w:t>
      </w:r>
      <w:r w:rsidRPr="00A46485">
        <w:rPr>
          <w:rStyle w:val="Appelnotedebasdep"/>
          <w:rFonts w:ascii="Simplified Arabic" w:hAnsi="Simplified Arabic" w:cs="Simplified Arabic"/>
          <w:sz w:val="28"/>
          <w:szCs w:val="28"/>
          <w:rtl/>
        </w:rPr>
        <w:footnoteReference w:id="8"/>
      </w:r>
    </w:p>
    <w:p w:rsidR="001C61F9"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وهكذا يمكن القول أن أعمال السيادة تشكل على عكس كل من نظرية السلطة التقديرية ونظرية الظروف </w:t>
      </w:r>
      <w:proofErr w:type="gramStart"/>
      <w:r w:rsidRPr="00A46485">
        <w:rPr>
          <w:rFonts w:ascii="Simplified Arabic" w:hAnsi="Simplified Arabic" w:cs="Simplified Arabic"/>
          <w:sz w:val="28"/>
          <w:szCs w:val="28"/>
          <w:rtl/>
        </w:rPr>
        <w:t>الاستثنائية ،</w:t>
      </w:r>
      <w:proofErr w:type="gramEnd"/>
      <w:r w:rsidRPr="00A46485">
        <w:rPr>
          <w:rFonts w:ascii="Simplified Arabic" w:hAnsi="Simplified Arabic" w:cs="Simplified Arabic"/>
          <w:sz w:val="28"/>
          <w:szCs w:val="28"/>
          <w:rtl/>
        </w:rPr>
        <w:t xml:space="preserve"> ً استثناء حقيقا وخروجا صريحا على مبدأ المشروعية الادارية، الأمر الذي جعل من أعمال السيادة تعد سلاحا قويا في يد السلطة التنفيذية.</w:t>
      </w:r>
      <w:r>
        <w:rPr>
          <w:rFonts w:ascii="Simplified Arabic" w:hAnsi="Simplified Arabic" w:cs="Simplified Arabic" w:hint="cs"/>
          <w:sz w:val="28"/>
          <w:szCs w:val="28"/>
          <w:rtl/>
        </w:rPr>
        <w:t xml:space="preserve"> </w:t>
      </w:r>
    </w:p>
    <w:p w:rsidR="001C61F9" w:rsidRDefault="001C61F9" w:rsidP="001C61F9">
      <w:pPr>
        <w:jc w:val="right"/>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وهي بذلك تتضمن خروج صريحا على مبدأ </w:t>
      </w:r>
      <w:r w:rsidRPr="003C57C2">
        <w:rPr>
          <w:rFonts w:ascii="Simplified Arabic" w:hAnsi="Simplified Arabic" w:cs="Simplified Arabic" w:hint="cs"/>
          <w:sz w:val="28"/>
          <w:szCs w:val="28"/>
          <w:rtl/>
          <w:lang w:bidi="ar-DZ"/>
        </w:rPr>
        <w:t>المشروعية</w:t>
      </w:r>
      <w:r w:rsidRPr="003C57C2">
        <w:rPr>
          <w:rFonts w:ascii="Simplified Arabic" w:hAnsi="Simplified Arabic" w:cs="Simplified Arabic"/>
          <w:sz w:val="28"/>
          <w:szCs w:val="28"/>
          <w:rtl/>
          <w:lang w:bidi="ar-DZ"/>
        </w:rPr>
        <w:t>،</w:t>
      </w:r>
      <w:r w:rsidRPr="00BA5D35">
        <w:rPr>
          <w:rFonts w:ascii="Simplified Arabic" w:hAnsi="Simplified Arabic" w:cs="Simplified Arabic"/>
          <w:sz w:val="28"/>
          <w:szCs w:val="28"/>
          <w:rtl/>
          <w:lang w:bidi="ar-DZ"/>
        </w:rPr>
        <w:t xml:space="preserve"> وبالتالي اعتداء جسيم على حريات الأفراد، فمن خلالها تستطيع الإدارة اتخاذ القرارات والأعمال الخارجة عن ال</w:t>
      </w:r>
      <w:r>
        <w:rPr>
          <w:rFonts w:ascii="Simplified Arabic" w:hAnsi="Simplified Arabic" w:cs="Simplified Arabic" w:hint="cs"/>
          <w:sz w:val="28"/>
          <w:szCs w:val="28"/>
          <w:rtl/>
          <w:lang w:bidi="ar-DZ"/>
        </w:rPr>
        <w:t>م</w:t>
      </w:r>
      <w:r w:rsidRPr="00BA5D35">
        <w:rPr>
          <w:rFonts w:ascii="Simplified Arabic" w:hAnsi="Simplified Arabic" w:cs="Simplified Arabic"/>
          <w:sz w:val="28"/>
          <w:szCs w:val="28"/>
          <w:rtl/>
          <w:lang w:bidi="ar-DZ"/>
        </w:rPr>
        <w:t>شر</w:t>
      </w:r>
      <w:r>
        <w:rPr>
          <w:rFonts w:ascii="Simplified Arabic" w:hAnsi="Simplified Arabic" w:cs="Simplified Arabic" w:hint="cs"/>
          <w:sz w:val="28"/>
          <w:szCs w:val="28"/>
          <w:rtl/>
          <w:lang w:bidi="ar-DZ"/>
        </w:rPr>
        <w:t>و</w:t>
      </w:r>
      <w:r w:rsidRPr="00BA5D35">
        <w:rPr>
          <w:rFonts w:ascii="Simplified Arabic" w:hAnsi="Simplified Arabic" w:cs="Simplified Arabic"/>
          <w:sz w:val="28"/>
          <w:szCs w:val="28"/>
          <w:rtl/>
          <w:lang w:bidi="ar-DZ"/>
        </w:rPr>
        <w:t xml:space="preserve">عية القانونية، فلا يمكن لأي فرد أن </w:t>
      </w:r>
      <w:proofErr w:type="spellStart"/>
      <w:r w:rsidRPr="00BA5D35">
        <w:rPr>
          <w:rFonts w:ascii="Simplified Arabic" w:hAnsi="Simplified Arabic" w:cs="Simplified Arabic"/>
          <w:sz w:val="28"/>
          <w:szCs w:val="28"/>
          <w:rtl/>
          <w:lang w:bidi="ar-DZ"/>
        </w:rPr>
        <w:t>يواجهها</w:t>
      </w:r>
      <w:proofErr w:type="spellEnd"/>
      <w:r w:rsidRPr="00BA5D35">
        <w:rPr>
          <w:rFonts w:ascii="Simplified Arabic" w:hAnsi="Simplified Arabic" w:cs="Simplified Arabic"/>
          <w:sz w:val="28"/>
          <w:szCs w:val="28"/>
          <w:rtl/>
          <w:lang w:bidi="ar-DZ"/>
        </w:rPr>
        <w:t xml:space="preserve"> ما دام أنه ليس هناك قضاء مختص بالنظر في مثل هذه الأعمال، وتعد نظرية أعمال السيادة من ابتداع مجلس الدولة الفرنسي.</w:t>
      </w:r>
    </w:p>
    <w:p w:rsidR="001C61F9" w:rsidRPr="00A46485" w:rsidRDefault="001C61F9" w:rsidP="001C61F9">
      <w:pPr>
        <w:jc w:val="right"/>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ولقد </w:t>
      </w:r>
      <w:r w:rsidRPr="00BA5D35">
        <w:rPr>
          <w:rFonts w:ascii="Simplified Arabic" w:hAnsi="Simplified Arabic" w:cs="Simplified Arabic"/>
          <w:sz w:val="28"/>
          <w:szCs w:val="28"/>
          <w:rtl/>
          <w:lang w:bidi="ar-DZ"/>
        </w:rPr>
        <w:t xml:space="preserve">أخذ القاضي الجزائري </w:t>
      </w:r>
      <w:r>
        <w:rPr>
          <w:rFonts w:ascii="Simplified Arabic" w:hAnsi="Simplified Arabic" w:cs="Simplified Arabic" w:hint="cs"/>
          <w:sz w:val="28"/>
          <w:szCs w:val="28"/>
          <w:rtl/>
          <w:lang w:bidi="ar-DZ"/>
        </w:rPr>
        <w:t>بنظرية أعمال السيادة في العديد من القضايا من بينها</w:t>
      </w:r>
      <w:r w:rsidRPr="00BA5D35">
        <w:rPr>
          <w:rFonts w:ascii="Simplified Arabic" w:hAnsi="Simplified Arabic" w:cs="Simplified Arabic"/>
          <w:sz w:val="28"/>
          <w:szCs w:val="28"/>
          <w:rtl/>
          <w:lang w:bidi="ar-DZ"/>
        </w:rPr>
        <w:t xml:space="preserve"> قضية </w:t>
      </w:r>
      <w:proofErr w:type="spellStart"/>
      <w:r w:rsidRPr="00BA5D35">
        <w:rPr>
          <w:rFonts w:ascii="Simplified Arabic" w:hAnsi="Simplified Arabic" w:cs="Simplified Arabic"/>
          <w:sz w:val="28"/>
          <w:szCs w:val="28"/>
          <w:rtl/>
          <w:lang w:bidi="ar-DZ"/>
        </w:rPr>
        <w:t>ي.ب</w:t>
      </w:r>
      <w:proofErr w:type="spellEnd"/>
      <w:r w:rsidRPr="00BA5D35">
        <w:rPr>
          <w:rFonts w:ascii="Simplified Arabic" w:hAnsi="Simplified Arabic" w:cs="Simplified Arabic"/>
          <w:sz w:val="28"/>
          <w:szCs w:val="28"/>
          <w:rtl/>
          <w:lang w:bidi="ar-DZ"/>
        </w:rPr>
        <w:t xml:space="preserve"> ضد وزير المالية التي فصل فيها سنة 1984، حيث اعتبر أن القرار الحكومي القاضي بسحب الأوراق المالية من فئة 500 دج من التداول، وكذا القرار الوزاري المحدد لقواعد الترخيص والتبديل، يعدان قراران سياسيان يكسبان طابع أعمال السيادة، مما يستحيل أن يختص بنظرهما القضاء بمراقبة مدى </w:t>
      </w:r>
      <w:r>
        <w:rPr>
          <w:rFonts w:ascii="Simplified Arabic" w:hAnsi="Simplified Arabic" w:cs="Simplified Arabic" w:hint="cs"/>
          <w:sz w:val="28"/>
          <w:szCs w:val="28"/>
          <w:rtl/>
          <w:lang w:bidi="ar-DZ"/>
        </w:rPr>
        <w:t>م</w:t>
      </w:r>
      <w:r w:rsidRPr="00BA5D35">
        <w:rPr>
          <w:rFonts w:ascii="Simplified Arabic" w:hAnsi="Simplified Arabic" w:cs="Simplified Arabic"/>
          <w:sz w:val="28"/>
          <w:szCs w:val="28"/>
          <w:rtl/>
          <w:lang w:bidi="ar-DZ"/>
        </w:rPr>
        <w:t>شر</w:t>
      </w:r>
      <w:r>
        <w:rPr>
          <w:rFonts w:ascii="Simplified Arabic" w:hAnsi="Simplified Arabic" w:cs="Simplified Arabic" w:hint="cs"/>
          <w:sz w:val="28"/>
          <w:szCs w:val="28"/>
          <w:rtl/>
          <w:lang w:bidi="ar-DZ"/>
        </w:rPr>
        <w:t>و</w:t>
      </w:r>
      <w:r w:rsidRPr="00BA5D35">
        <w:rPr>
          <w:rFonts w:ascii="Simplified Arabic" w:hAnsi="Simplified Arabic" w:cs="Simplified Arabic"/>
          <w:sz w:val="28"/>
          <w:szCs w:val="28"/>
          <w:rtl/>
          <w:lang w:bidi="ar-DZ"/>
        </w:rPr>
        <w:t>عيتهما</w:t>
      </w:r>
      <w:r>
        <w:rPr>
          <w:rFonts w:ascii="Simplified Arabic" w:hAnsi="Simplified Arabic" w:cs="Simplified Arabic"/>
          <w:sz w:val="28"/>
          <w:szCs w:val="28"/>
          <w:rtl/>
          <w:lang w:bidi="ar-DZ"/>
        </w:rPr>
        <w:t xml:space="preserve"> ولا مدة تطبيقهما</w:t>
      </w:r>
      <w:r>
        <w:rPr>
          <w:rFonts w:ascii="Simplified Arabic" w:hAnsi="Simplified Arabic" w:cs="Simplified Arabic" w:hint="cs"/>
          <w:sz w:val="28"/>
          <w:szCs w:val="28"/>
          <w:rtl/>
          <w:lang w:bidi="ar-DZ"/>
        </w:rPr>
        <w:t>.</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وتظهر أعمال السيادة في المجالات التي حددها القضاء في:</w:t>
      </w:r>
      <w:r w:rsidRPr="00A46485">
        <w:rPr>
          <w:rStyle w:val="Appelnotedebasdep"/>
          <w:rFonts w:ascii="Simplified Arabic" w:hAnsi="Simplified Arabic" w:cs="Simplified Arabic"/>
          <w:sz w:val="28"/>
          <w:szCs w:val="28"/>
          <w:rtl/>
        </w:rPr>
        <w:footnoteReference w:id="9"/>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علاقة السلطة التنفيذية بالبرلمان: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تضم الأعمال التي تشترك بمقتضاها السلطة التنفيذية مع البرلمان في أداء الوظيفة التشريعية مثل دعوة الناخبين للقيام بالعملية الانتخابية ودعوة البرلمان لانعقاده في دورة استثنائية.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Pr>
        <w:t xml:space="preserve"> </w:t>
      </w: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حل البرلمان (المجلس الشعبي الوطني)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القرارات التي تصدرها الحكومة بسحب مشروع للقانون كانت قد تقدمت به للبرلمان.</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العلاقات الدولية: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تظهر أعمال السيادة بصورة أكبر في الأعمال والإجراءات </w:t>
      </w:r>
      <w:proofErr w:type="gramStart"/>
      <w:r w:rsidRPr="00A46485">
        <w:rPr>
          <w:rFonts w:ascii="Simplified Arabic" w:hAnsi="Simplified Arabic" w:cs="Simplified Arabic"/>
          <w:sz w:val="28"/>
          <w:szCs w:val="28"/>
          <w:rtl/>
        </w:rPr>
        <w:t>و التصرفات</w:t>
      </w:r>
      <w:proofErr w:type="gramEnd"/>
      <w:r w:rsidRPr="00A46485">
        <w:rPr>
          <w:rFonts w:ascii="Simplified Arabic" w:hAnsi="Simplified Arabic" w:cs="Simplified Arabic"/>
          <w:sz w:val="28"/>
          <w:szCs w:val="28"/>
          <w:rtl/>
        </w:rPr>
        <w:t xml:space="preserve"> التي تقوم بها السلطة التنفيذية في مجال العلاقات الدولية مثل:</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الأعمال المتعلقة بإعداد المعاهدات الدولية والمتعلقة بإنشاء علاقات مع دول أو منظمات دولية في شتى المجالات سواء بالتوقيع أو المصادقة على المعاهدات.</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الأعمال التي يقوم بها ممثلو الدولة في الخارج والمتعلقة بوظائفهم الدبلوماسية.</w:t>
      </w:r>
    </w:p>
    <w:p w:rsidR="001C61F9"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الأعمال المتعلقة بإدارة وتسيير الحرب.</w:t>
      </w:r>
    </w:p>
    <w:p w:rsidR="001C61F9" w:rsidRPr="003C57C2" w:rsidRDefault="001C61F9" w:rsidP="001C61F9">
      <w:pPr>
        <w:bidi/>
        <w:ind w:firstLine="708"/>
        <w:rPr>
          <w:rFonts w:ascii="Simplified Arabic" w:hAnsi="Simplified Arabic" w:cs="Simplified Arabic"/>
          <w:b/>
          <w:bCs/>
          <w:sz w:val="28"/>
          <w:szCs w:val="28"/>
          <w:rtl/>
          <w:lang w:bidi="ar-DZ"/>
        </w:rPr>
      </w:pPr>
      <w:r w:rsidRPr="003C57C2">
        <w:rPr>
          <w:rFonts w:ascii="Simplified Arabic" w:hAnsi="Simplified Arabic" w:cs="Simplified Arabic" w:hint="cs"/>
          <w:b/>
          <w:bCs/>
          <w:sz w:val="28"/>
          <w:szCs w:val="28"/>
          <w:rtl/>
          <w:lang w:bidi="ar-DZ"/>
        </w:rPr>
        <w:t>تمييز اعمال السيادة عن الظروف الاستثنائية:</w:t>
      </w:r>
    </w:p>
    <w:p w:rsidR="001C61F9" w:rsidRPr="00BA5D35" w:rsidRDefault="001C61F9" w:rsidP="001C61F9">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A5D35">
        <w:rPr>
          <w:rFonts w:ascii="Simplified Arabic" w:hAnsi="Simplified Arabic" w:cs="Simplified Arabic"/>
          <w:sz w:val="28"/>
          <w:szCs w:val="28"/>
          <w:rtl/>
          <w:lang w:bidi="ar-DZ"/>
        </w:rPr>
        <w:t>كلاهما تعد نظرية قضائية.</w:t>
      </w:r>
    </w:p>
    <w:p w:rsidR="001C61F9" w:rsidRPr="00BA5D35" w:rsidRDefault="001C61F9" w:rsidP="001C61F9">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BA5D35">
        <w:rPr>
          <w:rFonts w:ascii="Simplified Arabic" w:hAnsi="Simplified Arabic" w:cs="Simplified Arabic"/>
          <w:sz w:val="28"/>
          <w:szCs w:val="28"/>
          <w:rtl/>
          <w:lang w:bidi="ar-DZ"/>
        </w:rPr>
        <w:t>كما أن كلتا النظريتين تعملان في مجال واحد، وهو مجال اختصاصات السلطة التنفيذية، لكن كل هذا لا يلغي الفرق الواسع بينهما:</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 إذا توفرت الشروط الشكلية في الدعوى التي يرفعها الشخص على أساس نظرية الظروف الاستثنائية، فالقاضي يبحث في موضوع الدعوى ليقرر قبولها من إلغائها، أما فيما يخص الدعوى المرفوعة على أساس نظرية أعمال السيادة، فإن القاضي لا يبحث في موضوعها إذا ما اعتبر العمل المطعون فيه ينتمي لفئة أعمال السيادة، فالعمل في ميدان الدعاوي الإدارية، شرط من شروط قبول الدعاوى، وهذا يعني أن الإدارة في الظروف الاستثنائية تبقى خاضعة للرقابة القضائية، وهذا على خلاف نظرية أعمال السيادة التي تعد استثناء عن مبدأ </w:t>
      </w:r>
      <w:r>
        <w:rPr>
          <w:rFonts w:ascii="Simplified Arabic" w:hAnsi="Simplified Arabic" w:cs="Simplified Arabic" w:hint="cs"/>
          <w:sz w:val="28"/>
          <w:szCs w:val="28"/>
          <w:rtl/>
          <w:lang w:bidi="ar-DZ"/>
        </w:rPr>
        <w:t>الم</w:t>
      </w:r>
      <w:r w:rsidRPr="00BA5D35">
        <w:rPr>
          <w:rFonts w:ascii="Simplified Arabic" w:hAnsi="Simplified Arabic" w:cs="Simplified Arabic"/>
          <w:sz w:val="28"/>
          <w:szCs w:val="28"/>
          <w:rtl/>
          <w:lang w:bidi="ar-DZ"/>
        </w:rPr>
        <w:t>شر</w:t>
      </w:r>
      <w:r>
        <w:rPr>
          <w:rFonts w:ascii="Simplified Arabic" w:hAnsi="Simplified Arabic" w:cs="Simplified Arabic" w:hint="cs"/>
          <w:sz w:val="28"/>
          <w:szCs w:val="28"/>
          <w:rtl/>
          <w:lang w:bidi="ar-DZ"/>
        </w:rPr>
        <w:t>و</w:t>
      </w:r>
      <w:r w:rsidRPr="00BA5D35">
        <w:rPr>
          <w:rFonts w:ascii="Simplified Arabic" w:hAnsi="Simplified Arabic" w:cs="Simplified Arabic"/>
          <w:sz w:val="28"/>
          <w:szCs w:val="28"/>
          <w:rtl/>
          <w:lang w:bidi="ar-DZ"/>
        </w:rPr>
        <w:t>عية، فالإدارة في مباشرتها لأعمال السيادة لا تخضع لأي رقابة.</w:t>
      </w:r>
      <w:r>
        <w:rPr>
          <w:rFonts w:ascii="Simplified Arabic" w:hAnsi="Simplified Arabic" w:cs="Simplified Arabic" w:hint="cs"/>
          <w:sz w:val="28"/>
          <w:szCs w:val="28"/>
          <w:rtl/>
          <w:lang w:bidi="ar-DZ"/>
        </w:rPr>
        <w:t xml:space="preserve"> </w:t>
      </w:r>
      <w:r>
        <w:rPr>
          <w:rFonts w:ascii="Simplified Arabic" w:hAnsi="Simplified Arabic" w:cs="Simplified Arabic" w:hint="cs"/>
          <w:color w:val="C00000"/>
          <w:sz w:val="28"/>
          <w:szCs w:val="28"/>
          <w:rtl/>
          <w:lang w:bidi="ar-DZ"/>
        </w:rPr>
        <w:t xml:space="preserve"> </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تطبيق نظرية الظروف الاستثنائية مرهون باستمرار الحالة غير العادية التي تواجه سلامة الدولة واستقرارها، أما نظرية أعمال السيادة فتطبيقها جائز في أي وقت، إذ لا يتوقف أعمالها على ظرف معين.</w:t>
      </w:r>
      <w:r>
        <w:rPr>
          <w:rStyle w:val="Appelnotedebasdep"/>
          <w:rFonts w:ascii="Simplified Arabic" w:hAnsi="Simplified Arabic" w:cs="Simplified Arabic" w:hint="cs"/>
          <w:sz w:val="28"/>
          <w:szCs w:val="28"/>
          <w:rtl/>
          <w:lang w:bidi="ar-DZ"/>
        </w:rPr>
        <w:t xml:space="preserve"> </w:t>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 تقرير نظرية الظروف الاستثنائية راجع إلى أسباب عملية يمكن التأكد من وجودها أو عدم وجودها، تتمثل في استحالة مواجهة الأزمة بإتباع القواعد القانونية العادية، أما نظرية السيادة </w:t>
      </w:r>
      <w:r w:rsidRPr="003C57C2">
        <w:rPr>
          <w:rFonts w:ascii="Simplified Arabic" w:hAnsi="Simplified Arabic" w:cs="Simplified Arabic"/>
          <w:color w:val="000000" w:themeColor="text1"/>
          <w:sz w:val="28"/>
          <w:szCs w:val="28"/>
          <w:rtl/>
          <w:lang w:bidi="ar-DZ"/>
        </w:rPr>
        <w:t xml:space="preserve">فإنها </w:t>
      </w:r>
      <w:r w:rsidRPr="003C57C2">
        <w:rPr>
          <w:rFonts w:ascii="Simplified Arabic" w:hAnsi="Simplified Arabic" w:cs="Simplified Arabic" w:hint="cs"/>
          <w:color w:val="000000" w:themeColor="text1"/>
          <w:sz w:val="28"/>
          <w:szCs w:val="28"/>
          <w:rtl/>
          <w:lang w:bidi="ar-DZ"/>
        </w:rPr>
        <w:t>ترجع</w:t>
      </w:r>
      <w:r w:rsidRPr="003C57C2">
        <w:rPr>
          <w:rFonts w:ascii="Simplified Arabic" w:hAnsi="Simplified Arabic" w:cs="Simplified Arabic"/>
          <w:color w:val="000000" w:themeColor="text1"/>
          <w:sz w:val="28"/>
          <w:szCs w:val="28"/>
          <w:rtl/>
          <w:lang w:bidi="ar-DZ"/>
        </w:rPr>
        <w:t xml:space="preserve"> في الغالب إلى أسباب سياسية</w:t>
      </w:r>
      <w:r w:rsidRPr="00BA5D35">
        <w:rPr>
          <w:rFonts w:ascii="Simplified Arabic" w:hAnsi="Simplified Arabic" w:cs="Simplified Arabic"/>
          <w:sz w:val="28"/>
          <w:szCs w:val="28"/>
          <w:rtl/>
          <w:lang w:bidi="ar-DZ"/>
        </w:rPr>
        <w:t xml:space="preserve"> ما دام أن الأعمال التي تدخل في طائفة أعمال السيادة يغلب عليها الطابع السياسي، فنطاق هذه النظرية يتفرق من مجتمع لأخر، وفق العلاقات السائدة في المجتمع وموقف القضاء من المواجهة الصارمة بين السلطة والحرية.</w:t>
      </w:r>
      <w:r w:rsidRPr="00BA5D35">
        <w:rPr>
          <w:rStyle w:val="Appelnotedebasdep"/>
          <w:rFonts w:ascii="Simplified Arabic" w:hAnsi="Simplified Arabic" w:cs="Simplified Arabic"/>
          <w:sz w:val="28"/>
          <w:szCs w:val="28"/>
          <w:rtl/>
          <w:lang w:bidi="ar-DZ"/>
        </w:rPr>
        <w:footnoteReference w:id="10"/>
      </w:r>
    </w:p>
    <w:p w:rsidR="001C61F9" w:rsidRPr="00BA5D35" w:rsidRDefault="001C61F9" w:rsidP="001C61F9">
      <w:pPr>
        <w:bidi/>
        <w:ind w:firstLine="708"/>
        <w:rPr>
          <w:rFonts w:ascii="Simplified Arabic" w:hAnsi="Simplified Arabic" w:cs="Simplified Arabic"/>
          <w:sz w:val="28"/>
          <w:szCs w:val="28"/>
          <w:rtl/>
          <w:lang w:bidi="ar-DZ"/>
        </w:rPr>
      </w:pPr>
      <w:r w:rsidRPr="00BA5D35">
        <w:rPr>
          <w:rFonts w:ascii="Simplified Arabic" w:hAnsi="Simplified Arabic" w:cs="Simplified Arabic"/>
          <w:sz w:val="28"/>
          <w:szCs w:val="28"/>
          <w:rtl/>
          <w:lang w:bidi="ar-DZ"/>
        </w:rPr>
        <w:t xml:space="preserve">ومن هنا يمكن القول </w:t>
      </w:r>
      <w:proofErr w:type="gramStart"/>
      <w:r w:rsidRPr="00BA5D35">
        <w:rPr>
          <w:rFonts w:ascii="Simplified Arabic" w:hAnsi="Simplified Arabic" w:cs="Simplified Arabic"/>
          <w:sz w:val="28"/>
          <w:szCs w:val="28"/>
          <w:rtl/>
          <w:lang w:bidi="ar-DZ"/>
        </w:rPr>
        <w:t>أن</w:t>
      </w:r>
      <w:proofErr w:type="gramEnd"/>
      <w:r w:rsidRPr="00BA5D35">
        <w:rPr>
          <w:rFonts w:ascii="Simplified Arabic" w:hAnsi="Simplified Arabic" w:cs="Simplified Arabic"/>
          <w:sz w:val="28"/>
          <w:szCs w:val="28"/>
          <w:rtl/>
          <w:lang w:bidi="ar-DZ"/>
        </w:rPr>
        <w:t xml:space="preserve"> الضمانات التي يتمتع بها الأفراد خلال الظروف الاستثنائية أقوى من الضمانات التي يتمتع بها الأفراد في أعمال السيادة، ففي الظروف الاستثنائية القاضي يسمح للإدارة بمخالفة القواعد القانونية في الفترة الاستثنائية مع السماح للأفراد بحق الطعن في الأعمال الصادرة خلال تلك الظروف، أما فيما يخص أعمال السيادة فإن الضمانة الوحيدة التي يتمتع بها الأفراد، أن القاضي هو من يحق له تكييف عمل الإدارة على أنه من أعمال السيادة أم لا.</w:t>
      </w:r>
      <w:r w:rsidRPr="00BA5D35">
        <w:rPr>
          <w:rStyle w:val="Appelnotedebasdep"/>
          <w:rFonts w:ascii="Simplified Arabic" w:hAnsi="Simplified Arabic" w:cs="Simplified Arabic"/>
          <w:sz w:val="28"/>
          <w:szCs w:val="28"/>
          <w:rtl/>
          <w:lang w:bidi="ar-DZ"/>
        </w:rPr>
        <w:footnoteReference w:id="11"/>
      </w:r>
    </w:p>
    <w:p w:rsidR="001C61F9" w:rsidRPr="001C61F9" w:rsidRDefault="001C61F9" w:rsidP="001C61F9">
      <w:pPr>
        <w:bidi/>
        <w:ind w:firstLine="708"/>
        <w:rPr>
          <w:rFonts w:ascii="Simplified Arabic" w:hAnsi="Simplified Arabic" w:cs="Simplified Arabic"/>
          <w:sz w:val="28"/>
          <w:szCs w:val="28"/>
          <w:lang w:bidi="ar-DZ"/>
        </w:rPr>
      </w:pPr>
      <w:r w:rsidRPr="00BA5D35">
        <w:rPr>
          <w:rFonts w:ascii="Simplified Arabic" w:hAnsi="Simplified Arabic" w:cs="Simplified Arabic"/>
          <w:sz w:val="28"/>
          <w:szCs w:val="28"/>
          <w:rtl/>
          <w:lang w:bidi="ar-DZ"/>
        </w:rPr>
        <w:t>- إن الأعمال الصادرة في ظل الظروف الاستثنائية يجوز للأفراد طلب إلغائها أو التعويض عنها، أما بالنسبة لأعمال السيادة فهي محصنة تماما من رقابة القضاء سواء عن طريق الإلغاء أو التعويض، أيا كان الأساس الذي تبنى عليه المسؤولية.</w:t>
      </w:r>
      <w:r w:rsidRPr="00BA5D35">
        <w:rPr>
          <w:rStyle w:val="Appelnotedebasdep"/>
          <w:rFonts w:ascii="Simplified Arabic" w:hAnsi="Simplified Arabic" w:cs="Simplified Arabic"/>
          <w:sz w:val="28"/>
          <w:szCs w:val="28"/>
          <w:rtl/>
          <w:lang w:bidi="ar-DZ"/>
        </w:rPr>
        <w:footnoteReference w:id="12"/>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المطلب الثاني: مصادر المشروعية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تنقسم مصادر المشروعية إلى مصادر مكتوبة، ومصادر غير مكتوبة.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الفرع الأول: المصادر المكتوبة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يقصد بالمصادر المكتوبة مجموعات مدونة تحتوي على قواعد قانونية ملزمة تتفاوت في درجة قوتها القانونية. فنجد الدستور في القمة، ثم تليه المعاهدات ثم التشريع العادي واخيرا التشريع </w:t>
      </w:r>
      <w:proofErr w:type="gramStart"/>
      <w:r w:rsidRPr="00A46485">
        <w:rPr>
          <w:rFonts w:ascii="Simplified Arabic" w:hAnsi="Simplified Arabic" w:cs="Simplified Arabic"/>
          <w:sz w:val="28"/>
          <w:szCs w:val="28"/>
          <w:rtl/>
        </w:rPr>
        <w:t>الفرعي .</w:t>
      </w:r>
      <w:proofErr w:type="gramEnd"/>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أ</w:t>
      </w:r>
      <w:r w:rsidRPr="00A46485">
        <w:rPr>
          <w:rFonts w:ascii="Simplified Arabic" w:hAnsi="Simplified Arabic" w:cs="Simplified Arabic"/>
          <w:b/>
          <w:bCs/>
          <w:sz w:val="28"/>
          <w:szCs w:val="28"/>
          <w:rtl/>
        </w:rPr>
        <w:t>ولا: الدستور</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تشكل القواعد الدستورية القانون الأعلى أو الأسمى في </w:t>
      </w:r>
      <w:proofErr w:type="gramStart"/>
      <w:r w:rsidRPr="00A46485">
        <w:rPr>
          <w:rFonts w:ascii="Simplified Arabic" w:hAnsi="Simplified Arabic" w:cs="Simplified Arabic"/>
          <w:sz w:val="28"/>
          <w:szCs w:val="28"/>
          <w:rtl/>
        </w:rPr>
        <w:t>الدولة ،</w:t>
      </w:r>
      <w:proofErr w:type="gramEnd"/>
      <w:r w:rsidRPr="00A46485">
        <w:rPr>
          <w:rFonts w:ascii="Simplified Arabic" w:hAnsi="Simplified Arabic" w:cs="Simplified Arabic"/>
          <w:sz w:val="28"/>
          <w:szCs w:val="28"/>
          <w:rtl/>
        </w:rPr>
        <w:t xml:space="preserve"> ذلك أنها تتعلق بنظام الحكم في الدولة  فهي التي تحدد شكل نظام الحكم في الدولة، وتبين السلطات الأساسية في الدولة تشريعية تنفيذية وقضائية ، وكذلك كيفية مباشرة كل من هذه السلطات لاختصاصاتها وعلاقة كل منها بالأخرى ، كما تبين حقوق الأفراد وحرياتهم ، وهي موضوعة من قبل السلطة التأسيسية</w:t>
      </w:r>
      <w:r w:rsidRPr="00A46485">
        <w:rPr>
          <w:rStyle w:val="Appelnotedebasdep"/>
          <w:rFonts w:ascii="Simplified Arabic" w:hAnsi="Simplified Arabic" w:cs="Simplified Arabic"/>
          <w:sz w:val="28"/>
          <w:szCs w:val="28"/>
          <w:rtl/>
        </w:rPr>
        <w:footnoteReference w:id="13"/>
      </w:r>
      <w:r w:rsidRPr="00A46485">
        <w:rPr>
          <w:rFonts w:ascii="Simplified Arabic" w:hAnsi="Simplified Arabic" w:cs="Simplified Arabic"/>
          <w:sz w:val="28"/>
          <w:szCs w:val="28"/>
          <w:rtl/>
        </w:rPr>
        <w:t xml:space="preserve"> . </w:t>
      </w:r>
    </w:p>
    <w:p w:rsidR="001C61F9" w:rsidRPr="00A46485" w:rsidRDefault="001C61F9" w:rsidP="001C61F9">
      <w:pPr>
        <w:jc w:val="right"/>
        <w:rPr>
          <w:rFonts w:ascii="Simplified Arabic" w:hAnsi="Simplified Arabic" w:cs="Simplified Arabic"/>
          <w:color w:val="050505"/>
          <w:sz w:val="28"/>
          <w:szCs w:val="28"/>
          <w:shd w:val="clear" w:color="auto" w:fill="FFFFFF"/>
          <w:rtl/>
        </w:rPr>
      </w:pPr>
      <w:r w:rsidRPr="00A46485">
        <w:rPr>
          <w:rFonts w:ascii="Simplified Arabic" w:hAnsi="Simplified Arabic" w:cs="Simplified Arabic"/>
          <w:color w:val="050505"/>
          <w:sz w:val="28"/>
          <w:szCs w:val="28"/>
          <w:shd w:val="clear" w:color="auto" w:fill="FFFFFF"/>
          <w:rtl/>
        </w:rPr>
        <w:t xml:space="preserve">ومن ثم ينبغي أن تلتزم سلطات الدولة جميعها بالتقيد بأحكام الدستور و إلا عدت تصرفاتها غير مشروعة، والإدارة بوصفها جهاز السلطة التنفيذية تلتزم بقواعد الدستور ولا يحق لها مخالفته في أعمالها إذ أن ذلك يعرض أعمالها للإلغاء والتعويض عما تسببه من </w:t>
      </w:r>
      <w:proofErr w:type="gramStart"/>
      <w:r w:rsidRPr="00A46485">
        <w:rPr>
          <w:rFonts w:ascii="Simplified Arabic" w:hAnsi="Simplified Arabic" w:cs="Simplified Arabic"/>
          <w:color w:val="050505"/>
          <w:sz w:val="28"/>
          <w:szCs w:val="28"/>
          <w:shd w:val="clear" w:color="auto" w:fill="FFFFFF"/>
          <w:rtl/>
        </w:rPr>
        <w:t>أضرار .</w:t>
      </w:r>
      <w:proofErr w:type="gramEnd"/>
    </w:p>
    <w:p w:rsidR="001C61F9" w:rsidRPr="00A46485" w:rsidRDefault="001C61F9" w:rsidP="001C61F9">
      <w:pPr>
        <w:jc w:val="right"/>
        <w:rPr>
          <w:rFonts w:ascii="Simplified Arabic" w:hAnsi="Simplified Arabic" w:cs="Simplified Arabic"/>
          <w:b/>
          <w:bCs/>
          <w:color w:val="050505"/>
          <w:sz w:val="28"/>
          <w:szCs w:val="28"/>
          <w:shd w:val="clear" w:color="auto" w:fill="FFFFFF"/>
          <w:rtl/>
        </w:rPr>
      </w:pPr>
      <w:r w:rsidRPr="00A46485">
        <w:rPr>
          <w:rFonts w:ascii="Simplified Arabic" w:hAnsi="Simplified Arabic" w:cs="Simplified Arabic"/>
          <w:color w:val="050505"/>
          <w:sz w:val="28"/>
          <w:szCs w:val="28"/>
          <w:shd w:val="clear" w:color="auto" w:fill="FFFFFF"/>
          <w:rtl/>
        </w:rPr>
        <w:t xml:space="preserve"> </w:t>
      </w:r>
      <w:r w:rsidRPr="00A46485">
        <w:rPr>
          <w:rFonts w:ascii="Simplified Arabic" w:hAnsi="Simplified Arabic" w:cs="Simplified Arabic"/>
          <w:b/>
          <w:bCs/>
          <w:color w:val="050505"/>
          <w:sz w:val="28"/>
          <w:szCs w:val="28"/>
          <w:shd w:val="clear" w:color="auto" w:fill="FFFFFF"/>
          <w:rtl/>
        </w:rPr>
        <w:t>ثانيا: المعاهدات الدولية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color w:val="050505"/>
          <w:sz w:val="28"/>
          <w:szCs w:val="28"/>
          <w:shd w:val="clear" w:color="auto" w:fill="FFFFFF"/>
          <w:rtl/>
        </w:rPr>
        <w:t xml:space="preserve"> </w:t>
      </w:r>
      <w:r w:rsidRPr="00A46485">
        <w:rPr>
          <w:rFonts w:ascii="Simplified Arabic" w:hAnsi="Simplified Arabic" w:cs="Simplified Arabic"/>
          <w:sz w:val="28"/>
          <w:szCs w:val="28"/>
          <w:rtl/>
        </w:rPr>
        <w:t xml:space="preserve">تعتبر المعاهدات الدولية مصدرا لمبدأ المشروعية الإدارية وهذا بعد أن يتم التصديق عليها من جانب السلطة المختصة داخل </w:t>
      </w:r>
      <w:proofErr w:type="gramStart"/>
      <w:r w:rsidRPr="00A46485">
        <w:rPr>
          <w:rFonts w:ascii="Simplified Arabic" w:hAnsi="Simplified Arabic" w:cs="Simplified Arabic"/>
          <w:sz w:val="28"/>
          <w:szCs w:val="28"/>
          <w:rtl/>
        </w:rPr>
        <w:t>الدولة ،</w:t>
      </w:r>
      <w:proofErr w:type="gramEnd"/>
      <w:r w:rsidRPr="00A46485">
        <w:rPr>
          <w:rFonts w:ascii="Simplified Arabic" w:hAnsi="Simplified Arabic" w:cs="Simplified Arabic"/>
          <w:sz w:val="28"/>
          <w:szCs w:val="28"/>
          <w:rtl/>
        </w:rPr>
        <w:t xml:space="preserve"> وفور التصديق عليها تصبح المعاهدة جزءا من التشريع الداخلي ، بل اعترفت المادة 150من الدستور بطابع السمو على القانون والتي جاء نصها كما يلي</w:t>
      </w:r>
      <w:r w:rsidRPr="00A46485">
        <w:rPr>
          <w:rFonts w:ascii="Simplified Arabic" w:hAnsi="Simplified Arabic" w:cs="Simplified Arabic"/>
          <w:b/>
          <w:bCs/>
          <w:sz w:val="28"/>
          <w:szCs w:val="28"/>
          <w:rtl/>
        </w:rPr>
        <w:t>:« المعاهدات التي يصادق عليها رئيس الجمهورية ،حسب الشروط المنصوص عليها في الدستور ، تسمو على القانون».</w:t>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وإذا استوفت المعاهدات مراحلها الدستورية فإن القضاء يمكنه أن يراقب مشروعية قرار إداري، تضمن انتهاكا لحكـم أو أحكام وردت في معاهدة دولية.</w:t>
      </w:r>
      <w:r w:rsidRPr="00A46485">
        <w:rPr>
          <w:rStyle w:val="Appelnotedebasdep"/>
          <w:rFonts w:ascii="Simplified Arabic" w:hAnsi="Simplified Arabic" w:cs="Simplified Arabic"/>
          <w:sz w:val="28"/>
          <w:szCs w:val="28"/>
          <w:rtl/>
        </w:rPr>
        <w:footnoteReference w:id="14"/>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ثالثا: التشريع العادي " القانون"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يقصد بالتشريع كمصدر للمشروعية مجموعة القواعد التي تضعها السلطة صاحبة الاختصاص في مباشرة وظيفة التشريع، طبقاً للقواعد والأشكال والإجراءات التي يحددها الدستور.</w:t>
      </w:r>
      <w:r w:rsidRPr="00A46485">
        <w:rPr>
          <w:rStyle w:val="Appelnotedebasdep"/>
          <w:rFonts w:ascii="Simplified Arabic" w:hAnsi="Simplified Arabic" w:cs="Simplified Arabic"/>
          <w:sz w:val="28"/>
          <w:szCs w:val="28"/>
          <w:rtl/>
        </w:rPr>
        <w:footnoteReference w:id="15"/>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وتشمل التشريعات العادية كل من القوانين الصادرة من البرلمان صاحب الحق الأصلي في المجالات التي خولها له الدستور، وكذا الاوامر الصادرة من رئيس الجمهورية بعد المصادقة عليها من قبل البرلمان.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حفاظا على مبدأ المشروعية يجب على الإدارة العامة أن تلتزم بما تضعه السلطة التشريعية من قوانين   في المجالات التي يخولها لها الدستور، وإلا عدت أعمالها غير مشروعة ويحكم بإلغائها عند الطعن فيها أمام القضاء الإداري أو التعويض عما تحدثه من أضرار للأفراد.</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رابعا: التشريع الفرعي (التنظيمات)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يتمثل التشريع الفرعي فيما تصدره هيئات وأجهزة الإدارة العامـة من قرارات تنظيمية تتعلق بأوضاع ومراكز عامة، ويظهـر ذلك في السلطة التنظيمية المخولة لأعضاء هيئات الإدارة العامة، أهمهـا رئيس الجمهورية والوزير الأول، مثل المراسيم الرئاسية والتنفيذية، لوائح الضرورة واللوائح التفويضية.</w:t>
      </w:r>
      <w:r w:rsidRPr="00A46485">
        <w:rPr>
          <w:rStyle w:val="Appelnotedebasdep"/>
          <w:rFonts w:ascii="Simplified Arabic" w:hAnsi="Simplified Arabic" w:cs="Simplified Arabic"/>
          <w:sz w:val="28"/>
          <w:szCs w:val="28"/>
          <w:rtl/>
        </w:rPr>
        <w:footnoteReference w:id="16"/>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الفرع الثاني: المصادر غير المكتوبة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يدخل ضم المصادر غير المكتوبة العرف والمبادئ العامة للقانون.</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أولا: العرف</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يقصد بالعرف الإداري</w:t>
      </w:r>
      <w:r w:rsidRPr="00A46485">
        <w:rPr>
          <w:rFonts w:ascii="Simplified Arabic" w:hAnsi="Simplified Arabic" w:cs="Simplified Arabic"/>
          <w:sz w:val="28"/>
          <w:szCs w:val="28"/>
          <w:rtl/>
        </w:rPr>
        <w:t xml:space="preserve"> ما جرى</w:t>
      </w: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عليه العمل من جانب السلطات الإدارية في مباشرة اختصاصاتها الإدارية،</w:t>
      </w:r>
      <w:r w:rsidRPr="00A46485">
        <w:rPr>
          <w:rStyle w:val="Appelnotedebasdep"/>
          <w:rFonts w:ascii="Simplified Arabic" w:hAnsi="Simplified Arabic" w:cs="Simplified Arabic"/>
          <w:sz w:val="28"/>
          <w:szCs w:val="28"/>
          <w:rtl/>
        </w:rPr>
        <w:footnoteReference w:id="17"/>
      </w:r>
      <w:r w:rsidRPr="00A46485">
        <w:rPr>
          <w:rFonts w:ascii="Simplified Arabic" w:hAnsi="Simplified Arabic" w:cs="Simplified Arabic"/>
          <w:sz w:val="28"/>
          <w:szCs w:val="28"/>
          <w:rtl/>
        </w:rPr>
        <w:t xml:space="preserve"> أو هو سلوك الإدارة المطَّرد في مسألة معينة على نحو معين فترة من الزمن بحيث تصبح الإدارة والمتعاملون معها ملزمين باحترام القاعدة المتولدة عن ذلك السلوك.</w:t>
      </w:r>
      <w:r w:rsidRPr="00A46485">
        <w:rPr>
          <w:rStyle w:val="Appelnotedebasdep"/>
          <w:rFonts w:ascii="Simplified Arabic" w:hAnsi="Simplified Arabic" w:cs="Simplified Arabic"/>
          <w:sz w:val="28"/>
          <w:szCs w:val="28"/>
          <w:rtl/>
        </w:rPr>
        <w:footnoteReference w:id="18"/>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أي أنه نتيجة لسير الإدارة على نمط معين في عملها مع تكرار السير على هذه القاعدة بشكل منتظم ومستمر بما يرسخ الاعتقاد لدى الادارة والأفراد بأنها قد أصبحت ملزمة وواجبة الاتباع.</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يشترط لاعتبار العرف ملزما للإدارة أن يتوافر فيه شرطان </w:t>
      </w:r>
      <w:proofErr w:type="gramStart"/>
      <w:r w:rsidRPr="00A46485">
        <w:rPr>
          <w:rFonts w:ascii="Simplified Arabic" w:hAnsi="Simplified Arabic" w:cs="Simplified Arabic"/>
          <w:sz w:val="28"/>
          <w:szCs w:val="28"/>
          <w:rtl/>
        </w:rPr>
        <w:t>وهما :</w:t>
      </w:r>
      <w:proofErr w:type="gramEnd"/>
      <w:r w:rsidRPr="00A46485">
        <w:rPr>
          <w:rFonts w:ascii="Simplified Arabic" w:hAnsi="Simplified Arabic" w:cs="Simplified Arabic"/>
          <w:sz w:val="28"/>
          <w:szCs w:val="28"/>
          <w:rtl/>
        </w:rPr>
        <w:t xml:space="preserve"> اعتياد لإدارة في تصرفها وأنمالها على سلوك معين بصورة متكررة وهذا لفترة من الزمن ،</w:t>
      </w:r>
      <w:r w:rsidRPr="00A46485">
        <w:rPr>
          <w:rStyle w:val="Appelnotedebasdep"/>
          <w:rFonts w:ascii="Simplified Arabic" w:hAnsi="Simplified Arabic" w:cs="Simplified Arabic"/>
          <w:sz w:val="28"/>
          <w:szCs w:val="28"/>
          <w:rtl/>
        </w:rPr>
        <w:footnoteReference w:id="19"/>
      </w:r>
      <w:r w:rsidRPr="00A46485">
        <w:rPr>
          <w:rFonts w:ascii="Simplified Arabic" w:hAnsi="Simplified Arabic" w:cs="Simplified Arabic"/>
          <w:sz w:val="28"/>
          <w:szCs w:val="28"/>
          <w:rtl/>
        </w:rPr>
        <w:t xml:space="preserve"> فإذا اتبعت إحدى الجهات الادارية في الدولة سلوكا معينا فترة من الزمن ثم أعرضت عن إتباعه في فترة أخرى ، لا نكون بصدد عرف إداري و هذا نتيجة غياب صفة التواتر والاستمرارية .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أما الشرط الثاني فهو أن يستقر في الأذهان الاعتقاد بضرورة احترام وتطبيق هذه القاعدة وتوقيع الجزاء بمعنى إلزامية القاعدة العرفية الادارية، الأمر الذي يستوجب أن يكون العرف عاما وأن تطبقه الإدارة بصفة دائمة ومستمرة، وأن لا يكون العرف مخالفا لنص تشريعي نافذ، لأن القاعدة العرفية تأتي في المرتبة الثانية بعد القاعدة </w:t>
      </w:r>
      <w:proofErr w:type="gramStart"/>
      <w:r w:rsidRPr="00A46485">
        <w:rPr>
          <w:rFonts w:ascii="Simplified Arabic" w:hAnsi="Simplified Arabic" w:cs="Simplified Arabic"/>
          <w:sz w:val="28"/>
          <w:szCs w:val="28"/>
          <w:rtl/>
        </w:rPr>
        <w:t xml:space="preserve">القانونية </w:t>
      </w:r>
      <w:r w:rsidRPr="00A46485">
        <w:rPr>
          <w:rStyle w:val="Appelnotedebasdep"/>
          <w:rFonts w:ascii="Simplified Arabic" w:hAnsi="Simplified Arabic" w:cs="Simplified Arabic"/>
          <w:sz w:val="28"/>
          <w:szCs w:val="28"/>
          <w:rtl/>
        </w:rPr>
        <w:footnoteReference w:id="20"/>
      </w:r>
      <w:r w:rsidRPr="00A46485">
        <w:rPr>
          <w:rFonts w:ascii="Simplified Arabic" w:hAnsi="Simplified Arabic" w:cs="Simplified Arabic"/>
          <w:sz w:val="28"/>
          <w:szCs w:val="28"/>
          <w:rtl/>
        </w:rPr>
        <w:t>،</w:t>
      </w:r>
      <w:proofErr w:type="gramEnd"/>
      <w:r w:rsidRPr="00A46485">
        <w:rPr>
          <w:rFonts w:ascii="Simplified Arabic" w:hAnsi="Simplified Arabic" w:cs="Simplified Arabic"/>
          <w:sz w:val="28"/>
          <w:szCs w:val="28"/>
          <w:rtl/>
        </w:rPr>
        <w:t xml:space="preserve"> ويستوي في ذلك أن تتخذ القاعدة القانونية صورة نص تشريعي أو تنظيمي أو قرار إداري أو أي نص قانوني مكتوب. ويتفرع عن ذلك أنه لا يجوز للقاضي أن يلجأ إلى العرف كمصدر من مصادر المشروعية– إلا إذا استحال عليه الوصول إلى الحكـم القانوني من النصوص المكتوبة.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المبادئ العامة للقانون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يقصد بالمبادئ العامة للقانون بأنها مجموعة قواعد قانونية ترسخت في ضمير الأمة </w:t>
      </w:r>
      <w:proofErr w:type="gramStart"/>
      <w:r w:rsidRPr="00A46485">
        <w:rPr>
          <w:rFonts w:ascii="Simplified Arabic" w:hAnsi="Simplified Arabic" w:cs="Simplified Arabic"/>
          <w:sz w:val="28"/>
          <w:szCs w:val="28"/>
          <w:rtl/>
        </w:rPr>
        <w:t>القانوني ،</w:t>
      </w:r>
      <w:proofErr w:type="gramEnd"/>
      <w:r w:rsidRPr="00A46485">
        <w:rPr>
          <w:rFonts w:ascii="Simplified Arabic" w:hAnsi="Simplified Arabic" w:cs="Simplified Arabic"/>
          <w:sz w:val="28"/>
          <w:szCs w:val="28"/>
          <w:rtl/>
        </w:rPr>
        <w:t xml:space="preserve"> يتم اكتشافها بواسطة القضاء ويعلنها في أحكامه فتكتسب قوة إلزامية ، وتصبح بذلك مصدرا من  مصادر المشروعية ، أو يقصد بها عدد معين من المبادئ التي لا تظهر في متن النصوص القانونية ( الدستور   القانون ، التنظيم) لكن في ديباجتها ، أو عرض أسبابها ويعترف القضاء بوجوب احترام الإدارة لها.</w:t>
      </w:r>
      <w:r w:rsidRPr="00A46485">
        <w:rPr>
          <w:rStyle w:val="Appelnotedebasdep"/>
          <w:rFonts w:ascii="Simplified Arabic" w:hAnsi="Simplified Arabic" w:cs="Simplified Arabic"/>
          <w:sz w:val="28"/>
          <w:szCs w:val="28"/>
          <w:rtl/>
        </w:rPr>
        <w:footnoteReference w:id="21"/>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ومن أهم المبادئ العامة </w:t>
      </w:r>
      <w:proofErr w:type="gramStart"/>
      <w:r w:rsidRPr="00A46485">
        <w:rPr>
          <w:rFonts w:ascii="Simplified Arabic" w:hAnsi="Simplified Arabic" w:cs="Simplified Arabic"/>
          <w:sz w:val="28"/>
          <w:szCs w:val="28"/>
          <w:rtl/>
        </w:rPr>
        <w:t>للقانون ،</w:t>
      </w:r>
      <w:proofErr w:type="gramEnd"/>
      <w:r w:rsidRPr="00A46485">
        <w:rPr>
          <w:rFonts w:ascii="Simplified Arabic" w:hAnsi="Simplified Arabic" w:cs="Simplified Arabic"/>
          <w:sz w:val="28"/>
          <w:szCs w:val="28"/>
          <w:rtl/>
        </w:rPr>
        <w:t xml:space="preserve"> التي تجد مصدرها في أحكام القضاء الإداري : مبدأ كفالة حق الدفاع، مبدأ المساواة بمختلف مستوياته ، ومبدأ الحرية بمختلف تطبيقاته أيضا ، ومبدأ عدم رجعية القرارات الإدارية ،  ومبدأ استمرارية المرافق العامة، وغيرها من المبادئ التي تسري على الإدارة العامة في مختلف جوانبها.</w:t>
      </w:r>
      <w:r w:rsidRPr="00A46485">
        <w:rPr>
          <w:rStyle w:val="Appelnotedebasdep"/>
          <w:rFonts w:ascii="Simplified Arabic" w:hAnsi="Simplified Arabic" w:cs="Simplified Arabic"/>
          <w:sz w:val="28"/>
          <w:szCs w:val="28"/>
          <w:rtl/>
        </w:rPr>
        <w:footnoteReference w:id="22"/>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واستقر الفقه والقضاء في كل من فرنسا ومصر والجزائر، على أن للمبادئ العامة للقانون قوة قانونية ملزمة، وبالتالي يكون باطلا كل قرار أو إجراء تتخذه الإدارة العامة بالمخالفة لمبدأ من هذه المبادئ.</w:t>
      </w:r>
      <w:r w:rsidRPr="00A46485">
        <w:rPr>
          <w:rStyle w:val="Appelnotedebasdep"/>
          <w:rFonts w:ascii="Simplified Arabic" w:hAnsi="Simplified Arabic" w:cs="Simplified Arabic"/>
          <w:sz w:val="28"/>
          <w:szCs w:val="28"/>
          <w:rtl/>
        </w:rPr>
        <w:footnoteReference w:id="23"/>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المبحث الثاني: ضمانات مبدأ المشروعية (الرقابة على أعمال الإدارة)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لتجسيد مبدأ المشروعية على أرض الواقع حدد المشرع الجزائري مجموعة من الضمانات تتمثل في أليات الرقابة، وهناك طريقتان رئاسيتان للرقابة: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المطلب الأول: 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الرقابة الإدارية هي عبارة عن رقابة داخلية ذاتية تقوم بها الإدارة بنفسها لمراجعة تصرفاتها للتحقق من مطابقتها </w:t>
      </w:r>
      <w:proofErr w:type="gramStart"/>
      <w:r w:rsidRPr="00A46485">
        <w:rPr>
          <w:rFonts w:ascii="Simplified Arabic" w:hAnsi="Simplified Arabic" w:cs="Simplified Arabic"/>
          <w:sz w:val="28"/>
          <w:szCs w:val="28"/>
          <w:rtl/>
        </w:rPr>
        <w:t>للمشروعية ،</w:t>
      </w:r>
      <w:proofErr w:type="gramEnd"/>
      <w:r w:rsidRPr="00A46485">
        <w:rPr>
          <w:rFonts w:ascii="Simplified Arabic" w:hAnsi="Simplified Arabic" w:cs="Simplified Arabic"/>
          <w:sz w:val="28"/>
          <w:szCs w:val="28"/>
          <w:rtl/>
        </w:rPr>
        <w:t xml:space="preserve"> وملاءمتها للظروف المحيطة بها سواء كانت رقابة تلقائية أو بناء على تظلم.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وعليه تستهدف الرقابة الإدارية على أعمال السلطات الإدارية ضمان حسن سير الوظيفة العامة الإدارية بانتظام </w:t>
      </w:r>
      <w:proofErr w:type="gramStart"/>
      <w:r w:rsidRPr="00A46485">
        <w:rPr>
          <w:rFonts w:ascii="Simplified Arabic" w:hAnsi="Simplified Arabic" w:cs="Simplified Arabic"/>
          <w:sz w:val="28"/>
          <w:szCs w:val="28"/>
          <w:rtl/>
        </w:rPr>
        <w:t>و باطراد</w:t>
      </w:r>
      <w:proofErr w:type="gramEnd"/>
      <w:r w:rsidRPr="00A46485">
        <w:rPr>
          <w:rFonts w:ascii="Simplified Arabic" w:hAnsi="Simplified Arabic" w:cs="Simplified Arabic"/>
          <w:sz w:val="28"/>
          <w:szCs w:val="28"/>
          <w:rtl/>
        </w:rPr>
        <w:t xml:space="preserve"> و على أحسن وجه، و تحقيق الملائمة الإدارية للعمل الإداري أو النشاط الإداري بما يحقق المصلحة العامة، كما تستهدف ضمان حسن تنفيذ القوانين.</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الفرع الأول: صور 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تأخذ الرقابة الإدارية في الواقع عدة صور رئيسية أهمها:</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أولا: الرقابة التلقائية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تتم الرقابة التلقائية عن طريق إنشاء آليات وقواعد داخل جهاز إداري معين من أجل تحسين مواطن الخلل وإصلاحها في الوقت المناسب، مثل سجل الاقتراحات.</w:t>
      </w:r>
      <w:r w:rsidRPr="00A46485">
        <w:rPr>
          <w:rStyle w:val="Appelnotedebasdep"/>
          <w:rFonts w:ascii="Simplified Arabic" w:hAnsi="Simplified Arabic" w:cs="Simplified Arabic"/>
          <w:sz w:val="28"/>
          <w:szCs w:val="28"/>
          <w:rtl/>
        </w:rPr>
        <w:footnoteReference w:id="24"/>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الرقابة الرئاسية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تخول القوانين والأنظمة للرئيس الإداري حق التدخل للتعقيب على أعمال مرؤوسيه من أجل المصادقة عليها أو تعديلها أو إلغائها، </w:t>
      </w:r>
      <w:proofErr w:type="spellStart"/>
      <w:r w:rsidRPr="00A46485">
        <w:rPr>
          <w:rFonts w:ascii="Simplified Arabic" w:hAnsi="Simplified Arabic" w:cs="Simplified Arabic"/>
          <w:sz w:val="28"/>
          <w:szCs w:val="28"/>
          <w:rtl/>
        </w:rPr>
        <w:t>سواءا</w:t>
      </w:r>
      <w:proofErr w:type="spellEnd"/>
      <w:r w:rsidRPr="00A46485">
        <w:rPr>
          <w:rFonts w:ascii="Simplified Arabic" w:hAnsi="Simplified Arabic" w:cs="Simplified Arabic"/>
          <w:sz w:val="28"/>
          <w:szCs w:val="28"/>
          <w:rtl/>
        </w:rPr>
        <w:t xml:space="preserve"> كان ذلك من تلقاء نفسه أو بناء نلى تظلم أو طعن رئاسي.</w:t>
      </w:r>
      <w:r w:rsidRPr="00A46485">
        <w:rPr>
          <w:rStyle w:val="Appelnotedebasdep"/>
          <w:rFonts w:ascii="Simplified Arabic" w:hAnsi="Simplified Arabic" w:cs="Simplified Arabic"/>
          <w:sz w:val="28"/>
          <w:szCs w:val="28"/>
          <w:rtl/>
        </w:rPr>
        <w:footnoteReference w:id="25"/>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في هذا الإطار تنص المادة السابعة من المرسوم رقم 88/131 على أنه: "يجب على الإدارة أن تمارس رقابة صارمة في جميع مستويات المراتب السلمية على أعوانها...."</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ثالثا: الرقابة </w:t>
      </w:r>
      <w:proofErr w:type="spellStart"/>
      <w:r w:rsidRPr="00A46485">
        <w:rPr>
          <w:rFonts w:ascii="Simplified Arabic" w:hAnsi="Simplified Arabic" w:cs="Simplified Arabic"/>
          <w:b/>
          <w:bCs/>
          <w:sz w:val="28"/>
          <w:szCs w:val="28"/>
          <w:rtl/>
        </w:rPr>
        <w:t>الوصائية</w:t>
      </w:r>
      <w:proofErr w:type="spellEnd"/>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بالرغم من الاستقلال القانوني لبعض الهيئات الإدارية داخل السلطة التنفيذية، بموجب اكتسابها للشخصية المعنوية (</w:t>
      </w:r>
      <w:proofErr w:type="gramStart"/>
      <w:r w:rsidRPr="00A46485">
        <w:rPr>
          <w:rFonts w:ascii="Simplified Arabic" w:hAnsi="Simplified Arabic" w:cs="Simplified Arabic"/>
          <w:sz w:val="28"/>
          <w:szCs w:val="28"/>
          <w:rtl/>
        </w:rPr>
        <w:t>ولاية ،</w:t>
      </w:r>
      <w:proofErr w:type="gramEnd"/>
      <w:r w:rsidRPr="00A46485">
        <w:rPr>
          <w:rFonts w:ascii="Simplified Arabic" w:hAnsi="Simplified Arabic" w:cs="Simplified Arabic"/>
          <w:sz w:val="28"/>
          <w:szCs w:val="28"/>
          <w:rtl/>
        </w:rPr>
        <w:t xml:space="preserve"> بلدية ، جامعة...)، إلا أن ذلك الاستقلال ليس مطلقا ولا تاما حيث تبقى تلك الأجهزة خاضعة لقدر معين من الرقابة والإشراف من طرف السلطة الوصية، مثل وصاية الوالي على البلدية، أو وصاية وزير التعليم العالي على الجامعة.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الثاني: صور تحريك 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تتحرك الرقابة الإدارية إما تلقائيا، أو عن طريق تظلمات.</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أولا: التحريك التلقائي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إن رجل الإدارة الذي يقوم بالتصرف عند مراجعة عمله ومعاودة تقليب النظر فيه قد يكتشف خطأ في تصرفه، فيقدـم بنفسه على إلغائه أو تعديله أو استبداله بتصرف آخر يراه سليما، وقد يقوم بالرقابة التلقائية الرئيس الإداري لمصدر القرار عند مراقبته لأعمال مرؤوسيه ومراجعة أعمالهم طبقا لما تمليه عليه سلطته الرئاسية ومسؤوليته من أعمال مرؤوسيه.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وقد تتم هذه الرقابة التلقائية عن طريق أجهزة إدارية متخصصة أناط بها القانون مراقبة التصرفات الإدارية.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عن طريق التظلمات أو الطعون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يمكن تحريك الرقابة الإدارية بناء على تظلمات أو الطلبات التي يتقدم بها الأفراد ذوي المصلحة إلى الجهة الإدارية ضد الأعمال الإدارية غير المشروعة التي أضرت </w:t>
      </w:r>
      <w:proofErr w:type="gramStart"/>
      <w:r w:rsidRPr="00A46485">
        <w:rPr>
          <w:rFonts w:ascii="Simplified Arabic" w:hAnsi="Simplified Arabic" w:cs="Simplified Arabic"/>
          <w:sz w:val="28"/>
          <w:szCs w:val="28"/>
          <w:rtl/>
        </w:rPr>
        <w:t>بحقوقهم ،</w:t>
      </w:r>
      <w:proofErr w:type="gramEnd"/>
      <w:r w:rsidRPr="00A46485">
        <w:rPr>
          <w:rFonts w:ascii="Simplified Arabic" w:hAnsi="Simplified Arabic" w:cs="Simplified Arabic"/>
          <w:sz w:val="28"/>
          <w:szCs w:val="28"/>
          <w:rtl/>
        </w:rPr>
        <w:t xml:space="preserve"> وهي أنواع:</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أ/ التظلم أو الطعن </w:t>
      </w:r>
      <w:proofErr w:type="spellStart"/>
      <w:r w:rsidRPr="00A46485">
        <w:rPr>
          <w:rFonts w:ascii="Simplified Arabic" w:hAnsi="Simplified Arabic" w:cs="Simplified Arabic"/>
          <w:b/>
          <w:bCs/>
          <w:sz w:val="28"/>
          <w:szCs w:val="28"/>
          <w:rtl/>
        </w:rPr>
        <w:t>الولائي</w:t>
      </w:r>
      <w:proofErr w:type="spellEnd"/>
      <w:r w:rsidRPr="00A46485">
        <w:rPr>
          <w:rFonts w:ascii="Simplified Arabic" w:hAnsi="Simplified Arabic" w:cs="Simplified Arabic"/>
          <w:b/>
          <w:bCs/>
          <w:sz w:val="28"/>
          <w:szCs w:val="28"/>
          <w:rtl/>
        </w:rPr>
        <w:t>:</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هو ذلك التظلم الذي يقدمه ذو المصلحة </w:t>
      </w:r>
      <w:proofErr w:type="gramStart"/>
      <w:r w:rsidRPr="00A46485">
        <w:rPr>
          <w:rFonts w:ascii="Simplified Arabic" w:hAnsi="Simplified Arabic" w:cs="Simplified Arabic"/>
          <w:sz w:val="28"/>
          <w:szCs w:val="28"/>
          <w:rtl/>
        </w:rPr>
        <w:t>و الشأن</w:t>
      </w:r>
      <w:proofErr w:type="gramEnd"/>
      <w:r w:rsidRPr="00A46485">
        <w:rPr>
          <w:rFonts w:ascii="Simplified Arabic" w:hAnsi="Simplified Arabic" w:cs="Simplified Arabic"/>
          <w:sz w:val="28"/>
          <w:szCs w:val="28"/>
          <w:rtl/>
        </w:rPr>
        <w:t xml:space="preserve"> إلى ذات الجهة أو السلطة الإدارية، التي صدر منها التصرف أو العمل محل التظلم يلتمس فيه مراجعة هذا القرار و إعادة النظر فيه، بتصحيحه أو سحبه   أو إلغائه أو تعديله، مبينا في تظلمه أسباب التظلم، موضحا المخالفات القانونية التي </w:t>
      </w:r>
      <w:proofErr w:type="spellStart"/>
      <w:r w:rsidRPr="00A46485">
        <w:rPr>
          <w:rFonts w:ascii="Simplified Arabic" w:hAnsi="Simplified Arabic" w:cs="Simplified Arabic"/>
          <w:sz w:val="28"/>
          <w:szCs w:val="28"/>
          <w:rtl/>
        </w:rPr>
        <w:t>إنبنى</w:t>
      </w:r>
      <w:proofErr w:type="spellEnd"/>
      <w:r w:rsidRPr="00A46485">
        <w:rPr>
          <w:rFonts w:ascii="Simplified Arabic" w:hAnsi="Simplified Arabic" w:cs="Simplified Arabic"/>
          <w:sz w:val="28"/>
          <w:szCs w:val="28"/>
          <w:rtl/>
        </w:rPr>
        <w:t xml:space="preserve"> عليها هذا التصرف.</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ب/</w:t>
      </w:r>
      <w:r w:rsidRPr="00A46485">
        <w:rPr>
          <w:rFonts w:ascii="Simplified Arabic" w:hAnsi="Simplified Arabic" w:cs="Simplified Arabic"/>
          <w:b/>
          <w:bCs/>
          <w:sz w:val="28"/>
          <w:szCs w:val="28"/>
          <w:rtl/>
        </w:rPr>
        <w:t xml:space="preserve"> التظلم أو الطعن الرئاسي: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وهو التظلم الذي يقدمه ذوو الشأن والمصلحة إلى الرئيس الأعلى لمصدر القرار المعيب، مبينا في التظلم أسباب تظلمه، وموضحا المخالفات القانونية التي بني عليها هذا القرار، طالبا فيه إلغائه أو تعديله       أو </w:t>
      </w:r>
      <w:proofErr w:type="gramStart"/>
      <w:r w:rsidRPr="00A46485">
        <w:rPr>
          <w:rFonts w:ascii="Simplified Arabic" w:hAnsi="Simplified Arabic" w:cs="Simplified Arabic"/>
          <w:sz w:val="28"/>
          <w:szCs w:val="28"/>
          <w:rtl/>
        </w:rPr>
        <w:t>سح</w:t>
      </w:r>
      <w:bookmarkStart w:id="0" w:name="_GoBack"/>
      <w:bookmarkEnd w:id="0"/>
      <w:r w:rsidRPr="00A46485">
        <w:rPr>
          <w:rFonts w:ascii="Simplified Arabic" w:hAnsi="Simplified Arabic" w:cs="Simplified Arabic"/>
          <w:sz w:val="28"/>
          <w:szCs w:val="28"/>
          <w:rtl/>
        </w:rPr>
        <w:t>به .</w:t>
      </w:r>
      <w:proofErr w:type="gramEnd"/>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وواضح جدا أن هذا النوع من التظلمات الإدارية لا يمكن وجوده إلا في ظل النظام الإداري المركزي القائم على أساس تدرج النظام الإداري تدرجا هرميا ووجود السلطة الرئاسية وعلاقة التبعية والخضوع.</w:t>
      </w:r>
      <w:r w:rsidRPr="00A46485">
        <w:rPr>
          <w:rStyle w:val="Appelnotedebasdep"/>
          <w:rFonts w:ascii="Simplified Arabic" w:hAnsi="Simplified Arabic" w:cs="Simplified Arabic"/>
          <w:sz w:val="28"/>
          <w:szCs w:val="28"/>
          <w:rtl/>
        </w:rPr>
        <w:footnoteReference w:id="26"/>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ج/ التظلم أمام لجنة: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يقدم التظلم من طرف أصحاب المصلحة أمام لجان إدارية خاصة تنشئها القوانين وتنظمها وتحدد اختصاصاتها، وتتشكل من متخصصين في مجال معين من النشاط الإداري.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المطلب الثاني: الرقابة القضائية على أعمال الإدارة العامة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تعد الرقابة القضائية الضمانة الفعالة لاحترام القانون وسلامة </w:t>
      </w:r>
      <w:proofErr w:type="gramStart"/>
      <w:r w:rsidRPr="00A46485">
        <w:rPr>
          <w:rFonts w:ascii="Simplified Arabic" w:hAnsi="Simplified Arabic" w:cs="Simplified Arabic"/>
          <w:sz w:val="28"/>
          <w:szCs w:val="28"/>
          <w:rtl/>
        </w:rPr>
        <w:t>تطبيقه ،</w:t>
      </w:r>
      <w:proofErr w:type="gramEnd"/>
      <w:r w:rsidRPr="00A46485">
        <w:rPr>
          <w:rFonts w:ascii="Simplified Arabic" w:hAnsi="Simplified Arabic" w:cs="Simplified Arabic"/>
          <w:sz w:val="28"/>
          <w:szCs w:val="28"/>
          <w:rtl/>
        </w:rPr>
        <w:t xml:space="preserve"> والملاحظ أن الاتجاه المعاصر في أغلب البلدان يأخذ بنظام الرقابة القضائية على أعمال الإدارة دون الاستغناء عن الرقابة الإدارية ولا يكتمل خضوع الإدارة للقانون إلا بخضوعها للرقابة القضائية ، لأن القضاء بحكم استقلاليته وقوة نفوذه يستطيع ردع الإدارة وردها إلى جادة الصواب إذا ما خالفت القانون.</w:t>
      </w:r>
      <w:r w:rsidRPr="00A46485">
        <w:rPr>
          <w:rStyle w:val="Appelnotedebasdep"/>
          <w:rFonts w:ascii="Simplified Arabic" w:hAnsi="Simplified Arabic" w:cs="Simplified Arabic"/>
          <w:sz w:val="28"/>
          <w:szCs w:val="28"/>
          <w:rtl/>
        </w:rPr>
        <w:footnoteReference w:id="27"/>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ونظر للأهمية العملية القصوى لهذا النوع من الرقابة والنتائج التي تحققها لمبدأ المشروعية بوجه عام وللأفراد – الطرف الأضعف أمام الإدارة</w:t>
      </w:r>
      <w:r w:rsidRPr="00A46485">
        <w:rPr>
          <w:rFonts w:ascii="Simplified Arabic" w:hAnsi="Simplified Arabic" w:cs="Simplified Arabic"/>
          <w:sz w:val="28"/>
          <w:szCs w:val="28"/>
          <w:rtl/>
        </w:rPr>
        <w:noBreakHyphen/>
        <w:t xml:space="preserve"> على وجه الخصوص قيل فيها </w:t>
      </w:r>
      <w:proofErr w:type="gramStart"/>
      <w:r w:rsidRPr="00A46485">
        <w:rPr>
          <w:rFonts w:ascii="Simplified Arabic" w:hAnsi="Simplified Arabic" w:cs="Simplified Arabic"/>
          <w:sz w:val="28"/>
          <w:szCs w:val="28"/>
          <w:rtl/>
        </w:rPr>
        <w:t>إنها  تفوق</w:t>
      </w:r>
      <w:proofErr w:type="gramEnd"/>
      <w:r w:rsidRPr="00A46485">
        <w:rPr>
          <w:rFonts w:ascii="Simplified Arabic" w:hAnsi="Simplified Arabic" w:cs="Simplified Arabic"/>
          <w:sz w:val="28"/>
          <w:szCs w:val="28"/>
          <w:rtl/>
        </w:rPr>
        <w:t xml:space="preserve"> في أهميتها وفعاليتها كافة أنواع الرقابة الأخرى.</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لذا سنتعرض لتعريف الرقابة القضائية والفروق التي تميزها عن الرقابة الإدارية وكذا تطبيقات الرقابة القضائية في النظم المقارنة من خلال </w:t>
      </w:r>
      <w:proofErr w:type="spellStart"/>
      <w:r w:rsidRPr="00A46485">
        <w:rPr>
          <w:rFonts w:ascii="Simplified Arabic" w:hAnsi="Simplified Arabic" w:cs="Simplified Arabic"/>
          <w:sz w:val="28"/>
          <w:szCs w:val="28"/>
          <w:rtl/>
        </w:rPr>
        <w:t>مايلي</w:t>
      </w:r>
      <w:proofErr w:type="spellEnd"/>
      <w:r w:rsidRPr="00A46485">
        <w:rPr>
          <w:rFonts w:ascii="Simplified Arabic" w:hAnsi="Simplified Arabic" w:cs="Simplified Arabic"/>
          <w:sz w:val="28"/>
          <w:szCs w:val="28"/>
          <w:rtl/>
        </w:rPr>
        <w:t>:</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الأول: تعريف الرقابة القضائية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تعددت التعريفات الفقهية للرقابة القضائية، فهناك من عرفها بأنها: هي تلك السلطات القانونية والاختصاصات المخولة للجهات القضائية، بناء على نصوص القانون، والتي بمقتضاها يكون لهذه المحاكم سلطة البت فيما يدخل في اختصاصها من مسائل تكون الإدارة طرفا بأحكام نهائية.</w:t>
      </w:r>
      <w:r w:rsidRPr="00A46485">
        <w:rPr>
          <w:rStyle w:val="Appelnotedebasdep"/>
          <w:rFonts w:ascii="Simplified Arabic" w:hAnsi="Simplified Arabic" w:cs="Simplified Arabic"/>
          <w:sz w:val="28"/>
          <w:szCs w:val="28"/>
          <w:rtl/>
        </w:rPr>
        <w:footnoteReference w:id="28"/>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كما عرفها البعض بأنها: الرقابة التي تمارسها وتباشرها المحاكم القضائية على اختلاف أنواعها وعلى مختلف درجاتها وذلك عن طريق وبواسطة تحريك الدعوى والطعون القضائية المختلفة ضد أعمال السلطات الإدارية غير المشروعة.</w:t>
      </w:r>
      <w:r w:rsidRPr="00A46485">
        <w:rPr>
          <w:rStyle w:val="Appelnotedebasdep"/>
          <w:rFonts w:ascii="Simplified Arabic" w:hAnsi="Simplified Arabic" w:cs="Simplified Arabic"/>
          <w:sz w:val="28"/>
          <w:szCs w:val="28"/>
          <w:rtl/>
        </w:rPr>
        <w:footnoteReference w:id="29"/>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الثاني: الفرق بين الرقابة القضائية والرقابة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تختلف الرقابة القضائية عن الرقابة الإدارية في عدة </w:t>
      </w:r>
      <w:proofErr w:type="gramStart"/>
      <w:r w:rsidRPr="00A46485">
        <w:rPr>
          <w:rFonts w:ascii="Simplified Arabic" w:hAnsi="Simplified Arabic" w:cs="Simplified Arabic"/>
          <w:sz w:val="28"/>
          <w:szCs w:val="28"/>
          <w:rtl/>
        </w:rPr>
        <w:t>نواحي ،</w:t>
      </w:r>
      <w:proofErr w:type="gramEnd"/>
      <w:r w:rsidRPr="00A46485">
        <w:rPr>
          <w:rFonts w:ascii="Simplified Arabic" w:hAnsi="Simplified Arabic" w:cs="Simplified Arabic"/>
          <w:sz w:val="28"/>
          <w:szCs w:val="28"/>
          <w:rtl/>
        </w:rPr>
        <w:t xml:space="preserve"> ويمكن إجمال الفروق </w:t>
      </w:r>
      <w:proofErr w:type="spellStart"/>
      <w:r w:rsidRPr="00A46485">
        <w:rPr>
          <w:rFonts w:ascii="Simplified Arabic" w:hAnsi="Simplified Arabic" w:cs="Simplified Arabic"/>
          <w:sz w:val="28"/>
          <w:szCs w:val="28"/>
          <w:rtl/>
        </w:rPr>
        <w:t>بمايلي</w:t>
      </w:r>
      <w:proofErr w:type="spellEnd"/>
      <w:r w:rsidRPr="00A46485">
        <w:rPr>
          <w:rFonts w:ascii="Simplified Arabic" w:hAnsi="Simplified Arabic" w:cs="Simplified Arabic"/>
          <w:sz w:val="28"/>
          <w:szCs w:val="28"/>
          <w:rtl/>
        </w:rPr>
        <w:t>:</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أولا: من حيث الجهة التي تتولى </w:t>
      </w:r>
      <w:proofErr w:type="gramStart"/>
      <w:r w:rsidRPr="00A46485">
        <w:rPr>
          <w:rFonts w:ascii="Simplified Arabic" w:hAnsi="Simplified Arabic" w:cs="Simplified Arabic"/>
          <w:b/>
          <w:bCs/>
          <w:sz w:val="28"/>
          <w:szCs w:val="28"/>
          <w:rtl/>
        </w:rPr>
        <w:t>الرقابة :</w:t>
      </w:r>
      <w:proofErr w:type="gramEnd"/>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يكمن الاختلاف الجوهري بين كلا من الرقابتين في السلطة   أو الهيئة التي تتولى وتقوم بوظيفة الرقابة</w:t>
      </w:r>
      <w:r w:rsidRPr="00A46485">
        <w:rPr>
          <w:rFonts w:ascii="Simplified Arabic" w:hAnsi="Simplified Arabic" w:cs="Simplified Arabic"/>
          <w:b/>
          <w:bCs/>
          <w:sz w:val="28"/>
          <w:szCs w:val="28"/>
          <w:rtl/>
        </w:rPr>
        <w:t xml:space="preserve"> ، </w:t>
      </w:r>
      <w:r w:rsidRPr="00A46485">
        <w:rPr>
          <w:rFonts w:ascii="Simplified Arabic" w:hAnsi="Simplified Arabic" w:cs="Simplified Arabic"/>
          <w:sz w:val="28"/>
          <w:szCs w:val="28"/>
          <w:rtl/>
        </w:rPr>
        <w:t>فالرقابة القضائية من اختصاص السلطة القضائية المكونة من قضاة وهي سلطة محايدة بين الإدارة والأفراد، أما الرقابة الإدارية فهي من اختصاص الإدارة ذاتها   ومن أجل ذلك سميت بالرقابة الذاتية ، فهي ليست رقابة من هيئة محايدة مستقلة ، ويؤدي ذلك إلى جمع الإدارة صفتي الخصم والحكم بالنسبة لأعمالها محل الرقابة مما لا يحقق العدالة التي يناشدها الأفراد.</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ثانيا: من حيث الإجراءات </w:t>
      </w:r>
      <w:proofErr w:type="gramStart"/>
      <w:r w:rsidRPr="00A46485">
        <w:rPr>
          <w:rFonts w:ascii="Simplified Arabic" w:hAnsi="Simplified Arabic" w:cs="Simplified Arabic"/>
          <w:b/>
          <w:bCs/>
          <w:sz w:val="28"/>
          <w:szCs w:val="28"/>
          <w:rtl/>
        </w:rPr>
        <w:t>والمواعيد :</w:t>
      </w:r>
      <w:proofErr w:type="gramEnd"/>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يتوجب أن يتقيد  الطعن في أعمال الإدارة أمام القضاء بمواعيد محددة ، ويقدم في شكل معين ووفقا لإجراءات معينة ، وهذا بعكس الرقابة الإدارية التي لا تحتاج للتقيد بإجراءات ومواعيد بخصوص التظلمات التي ترفعها إليها إلا إذا نص القانون على خلاف ذلك.</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يمكن للإدارة أن تمارس الرقابة القضائية على أعمال الإدارة بناء على دعوى ترفع أمام القضاء من صاحب المصلحة.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ثالثا: من حيث مدى الرقابة: </w:t>
      </w:r>
      <w:r w:rsidRPr="00A46485">
        <w:rPr>
          <w:rFonts w:ascii="Simplified Arabic" w:hAnsi="Simplified Arabic" w:cs="Simplified Arabic"/>
          <w:sz w:val="28"/>
          <w:szCs w:val="28"/>
          <w:rtl/>
        </w:rPr>
        <w:t xml:space="preserve">الرقابة القضائية هي رقابة المشروعية للتحقق من مدى مشروعية القرار     </w:t>
      </w:r>
      <w:proofErr w:type="gramStart"/>
      <w:r w:rsidRPr="00A46485">
        <w:rPr>
          <w:rFonts w:ascii="Simplified Arabic" w:hAnsi="Simplified Arabic" w:cs="Simplified Arabic"/>
          <w:sz w:val="28"/>
          <w:szCs w:val="28"/>
          <w:rtl/>
        </w:rPr>
        <w:t>و من</w:t>
      </w:r>
      <w:proofErr w:type="gramEnd"/>
      <w:r w:rsidRPr="00A46485">
        <w:rPr>
          <w:rFonts w:ascii="Simplified Arabic" w:hAnsi="Simplified Arabic" w:cs="Simplified Arabic"/>
          <w:sz w:val="28"/>
          <w:szCs w:val="28"/>
          <w:rtl/>
        </w:rPr>
        <w:t xml:space="preserve"> ثم لا يجوز للقاضي بحث ملائمة القرار أو العمل الإداري، أما الرقابة الإدارية فهي رقابة المشروعية و الملائمة.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وينجم عن هذا ان الإدارة تستطيع في مجال ممارستها لرقابتها على أعمالها أن تلغيها أو تسحبها أو تعدلها أو تستبدلها بتصرف آخر، وبذلك تكون الرقابة الإدارية أوسع نطاقا وأبعد مداها من الرقابة القضائية.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بينما تنصب الرقابة القضائية في فحص مشروعية أعمال الإدارة أي تقدير موافقتها أو عدم موافقتها </w:t>
      </w:r>
      <w:proofErr w:type="gramStart"/>
      <w:r w:rsidRPr="00A46485">
        <w:rPr>
          <w:rFonts w:ascii="Simplified Arabic" w:hAnsi="Simplified Arabic" w:cs="Simplified Arabic"/>
          <w:sz w:val="28"/>
          <w:szCs w:val="28"/>
          <w:rtl/>
        </w:rPr>
        <w:t>للقانون ،</w:t>
      </w:r>
      <w:proofErr w:type="gramEnd"/>
      <w:r w:rsidRPr="00A46485">
        <w:rPr>
          <w:rFonts w:ascii="Simplified Arabic" w:hAnsi="Simplified Arabic" w:cs="Simplified Arabic"/>
          <w:sz w:val="28"/>
          <w:szCs w:val="28"/>
          <w:rtl/>
        </w:rPr>
        <w:t xml:space="preserve"> حيث لا يملك القضاء إلا الحكم بإلغاء العمل المخالف للقانون أو التعويض عن الأضرار التي ترتبت عليه دون  تعديله.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رابعا: من حيث الفصل في النزاع المعروض: </w:t>
      </w:r>
      <w:r w:rsidRPr="00A46485">
        <w:rPr>
          <w:rFonts w:ascii="Simplified Arabic" w:hAnsi="Simplified Arabic" w:cs="Simplified Arabic"/>
          <w:sz w:val="28"/>
          <w:szCs w:val="28"/>
          <w:rtl/>
        </w:rPr>
        <w:t>في الرقابة القضائية ليس للقاضي أن يمتنع عن الحكم في الدعوى وإلا ارتكب جريمة إنكار العدالة، أما الإدارة العامة فليست ملزمة بالرد على التظلمات التي ترفع إليها من الأفراد ما لم يلزمها المشرع بذلك.</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خامسا: من حيث </w:t>
      </w:r>
      <w:proofErr w:type="gramStart"/>
      <w:r w:rsidRPr="00A46485">
        <w:rPr>
          <w:rFonts w:ascii="Simplified Arabic" w:hAnsi="Simplified Arabic" w:cs="Simplified Arabic"/>
          <w:b/>
          <w:bCs/>
          <w:sz w:val="28"/>
          <w:szCs w:val="28"/>
          <w:rtl/>
        </w:rPr>
        <w:t>الحجية :</w:t>
      </w:r>
      <w:proofErr w:type="gramEnd"/>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تنتهي الرقابة القضائية بحكم يحوز حجة الشيء المقضي فيه بحيث لا يجوز إنكاره، أي النزاع بشأنه، أما الرقابة الإدارية تنتهي بقرار إداري يخضع لما تخضع له القرارات الإدارية، فيجوز أن يرفع التظلم مرة ثانية في حالة وضع التظلم من قبل الإدارة، كما يجوز للجهة الإدارية أن تراجع القرار المتظلم منه،  أو تعديله بشرط أن لا يكون قد تعلق به حق للغير.</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سادسا: من حيث </w:t>
      </w:r>
      <w:proofErr w:type="gramStart"/>
      <w:r w:rsidRPr="00A46485">
        <w:rPr>
          <w:rFonts w:ascii="Simplified Arabic" w:hAnsi="Simplified Arabic" w:cs="Simplified Arabic"/>
          <w:b/>
          <w:bCs/>
          <w:sz w:val="28"/>
          <w:szCs w:val="28"/>
          <w:rtl/>
        </w:rPr>
        <w:t>التسبيب :</w:t>
      </w:r>
      <w:proofErr w:type="gramEnd"/>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يلتزم القاضي بتسبيب الأحكام التي يصدرها في الدعاوى التي يفصل فيها وبذلك يكون متاح لأطراف النزاع معرفة الأسباب التي استند إليها القاضي في إصدار أحكامه ، بعكس الرقابة الإدارية التي لا تلتزم بالتسبيب كأصل عام إلا إذا نص القانون على خلاف ذلك. </w:t>
      </w:r>
      <w:r w:rsidRPr="00A46485">
        <w:rPr>
          <w:rStyle w:val="Appelnotedebasdep"/>
          <w:rFonts w:ascii="Simplified Arabic" w:hAnsi="Simplified Arabic" w:cs="Simplified Arabic"/>
          <w:sz w:val="28"/>
          <w:szCs w:val="28"/>
          <w:rtl/>
        </w:rPr>
        <w:footnoteReference w:id="30"/>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الثالث: تطبيقات الرقابة القضائية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إذا كان من المتفق عليه أن الرقابة القضائية هي أكثر صور الرقابة على الإدارة موضوعية وفعالية غير أن الأنظمة القانونية </w:t>
      </w:r>
      <w:proofErr w:type="gramStart"/>
      <w:r w:rsidRPr="00A46485">
        <w:rPr>
          <w:rFonts w:ascii="Simplified Arabic" w:hAnsi="Simplified Arabic" w:cs="Simplified Arabic"/>
          <w:sz w:val="28"/>
          <w:szCs w:val="28"/>
          <w:rtl/>
        </w:rPr>
        <w:t>المختلفة ،</w:t>
      </w:r>
      <w:proofErr w:type="gramEnd"/>
      <w:r w:rsidRPr="00A46485">
        <w:rPr>
          <w:rFonts w:ascii="Simplified Arabic" w:hAnsi="Simplified Arabic" w:cs="Simplified Arabic"/>
          <w:sz w:val="28"/>
          <w:szCs w:val="28"/>
          <w:rtl/>
        </w:rPr>
        <w:t xml:space="preserve"> لم تتفق بشأن الجهة القضائية التي تتولى هذه الرقابة ، ولا بشأن القانون الواجب التطبيق ، فأخذت بعض الدول بالنظام القضاء الموحد، والنموذج الأبرز في ذلك إنجلترا بينما، عهدت دول أخر بالفصل في منازعات الإدارة لجهات قضائية متخصصة ومستقلة عن جهات القضاء العادي وهذا الاعتبارات سياسية وتاريخية وفنية، ويسمى هذا النظام بالنظام القضائي المزدوج، كما هو الحال في فرنسا.</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أولا: نظام القضاء الموحد</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هو أسلوب رقابة قضائية يقوم على وجود هيكلا قضائيا واحدا في جميع مستوياته، يختص بالفصل في جميع المنازعات مهما كانت طبيعتها عادية وادارية، قاض واحد مطبقا لقانون واحد وهذا النظام يضع الإدارة على قدم المساواة مع الأفراد.</w:t>
      </w:r>
      <w:r w:rsidRPr="00A46485">
        <w:rPr>
          <w:rStyle w:val="Appelnotedebasdep"/>
          <w:rFonts w:ascii="Simplified Arabic" w:hAnsi="Simplified Arabic" w:cs="Simplified Arabic"/>
          <w:sz w:val="28"/>
          <w:szCs w:val="28"/>
          <w:rtl/>
        </w:rPr>
        <w:footnoteReference w:id="31"/>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ينتشر هذا النظام في البلدان </w:t>
      </w:r>
      <w:proofErr w:type="spellStart"/>
      <w:r w:rsidRPr="00A46485">
        <w:rPr>
          <w:rFonts w:ascii="Simplified Arabic" w:hAnsi="Simplified Arabic" w:cs="Simplified Arabic"/>
          <w:sz w:val="28"/>
          <w:szCs w:val="28"/>
          <w:rtl/>
        </w:rPr>
        <w:t>الإنجلوسكسونية</w:t>
      </w:r>
      <w:proofErr w:type="spellEnd"/>
      <w:r w:rsidRPr="00A46485">
        <w:rPr>
          <w:rFonts w:ascii="Simplified Arabic" w:hAnsi="Simplified Arabic" w:cs="Simplified Arabic"/>
          <w:sz w:val="28"/>
          <w:szCs w:val="28"/>
          <w:rtl/>
        </w:rPr>
        <w:t xml:space="preserve"> التي تضم بريطانيا والدول التي تتبعها بحكم انتمائها للتاج البريطاني أو كانت مستعمرة سابقا من قبل الإنجليز، وبقيت محافظة بعد استقلالها على الثقافة القانونية   والقضائية البريطانية.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 xml:space="preserve">1/ خصائص نظام القضاء الموحد: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وحدة الهياكل القضائية: </w:t>
      </w:r>
      <w:r w:rsidRPr="00A46485">
        <w:rPr>
          <w:rFonts w:ascii="Simplified Arabic" w:hAnsi="Simplified Arabic" w:cs="Simplified Arabic"/>
          <w:sz w:val="28"/>
          <w:szCs w:val="28"/>
          <w:rtl/>
        </w:rPr>
        <w:t>إذ يتكون التنظيم القضائي داخل الدولة من هيكل قضائي موحد يفصل في جميع النزاعات، ويخضع له جميع المتقاضين بما في ذلك الإدارة.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وحدة القواعد القانونية المطبقة: </w:t>
      </w:r>
      <w:r w:rsidRPr="00A46485">
        <w:rPr>
          <w:rFonts w:ascii="Simplified Arabic" w:hAnsi="Simplified Arabic" w:cs="Simplified Arabic"/>
          <w:sz w:val="28"/>
          <w:szCs w:val="28"/>
          <w:rtl/>
        </w:rPr>
        <w:t>أي وجود قانون واحد يطبق على الجميع إدارة وأفراد، ولا يوجد بموجب هذا النظام امتيازات خاصة بالإدارة، وهذا يعني عدم وجود قانون اداري يحكم نشاط الإدارة وقانون يحكم نشاط الأفراد والأشخاص العادية.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w:t>
      </w:r>
      <w:r w:rsidRPr="00A46485">
        <w:rPr>
          <w:rFonts w:ascii="Simplified Arabic" w:hAnsi="Simplified Arabic" w:cs="Simplified Arabic"/>
          <w:b/>
          <w:bCs/>
          <w:sz w:val="28"/>
          <w:szCs w:val="28"/>
          <w:rtl/>
        </w:rPr>
        <w:t xml:space="preserve">وحدة المنازعات: </w:t>
      </w:r>
      <w:r w:rsidRPr="00A46485">
        <w:rPr>
          <w:rFonts w:ascii="Simplified Arabic" w:hAnsi="Simplified Arabic" w:cs="Simplified Arabic"/>
          <w:sz w:val="28"/>
          <w:szCs w:val="28"/>
          <w:rtl/>
        </w:rPr>
        <w:t>بمعنى عدم وجود تمييز بين طبيعة المنازعة القائمة بين الأشخاص العادية فيما بينهم أو التي تكون الإدارة طرفا فيها، وهذا يعني وجود الأفراد والإدارة في مركز واحد من حيث المعاملة أمام القضاء، حيث القواعد التي يفصل بموجبها القاضي في منازعات الأفراد هي كذلك التي تخضع لها الإدارة، ولا فرق بين نشاط الأفراد العادية ونشاط الإدارة.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w:t>
      </w:r>
      <w:r w:rsidRPr="00A46485">
        <w:rPr>
          <w:rFonts w:ascii="Simplified Arabic" w:hAnsi="Simplified Arabic" w:cs="Simplified Arabic"/>
          <w:b/>
          <w:bCs/>
          <w:sz w:val="28"/>
          <w:szCs w:val="28"/>
          <w:rtl/>
        </w:rPr>
        <w:t xml:space="preserve">وحدة التكوين القضائي </w:t>
      </w:r>
      <w:proofErr w:type="gramStart"/>
      <w:r w:rsidRPr="00A46485">
        <w:rPr>
          <w:rFonts w:ascii="Simplified Arabic" w:hAnsi="Simplified Arabic" w:cs="Simplified Arabic"/>
          <w:b/>
          <w:bCs/>
          <w:sz w:val="28"/>
          <w:szCs w:val="28"/>
          <w:rtl/>
        </w:rPr>
        <w:t>و انعدام</w:t>
      </w:r>
      <w:proofErr w:type="gramEnd"/>
      <w:r w:rsidRPr="00A46485">
        <w:rPr>
          <w:rFonts w:ascii="Simplified Arabic" w:hAnsi="Simplified Arabic" w:cs="Simplified Arabic"/>
          <w:b/>
          <w:bCs/>
          <w:sz w:val="28"/>
          <w:szCs w:val="28"/>
          <w:rtl/>
        </w:rPr>
        <w:t xml:space="preserve"> التخصص: </w:t>
      </w:r>
      <w:r w:rsidRPr="00A46485">
        <w:rPr>
          <w:rFonts w:ascii="Simplified Arabic" w:hAnsi="Simplified Arabic" w:cs="Simplified Arabic"/>
          <w:sz w:val="28"/>
          <w:szCs w:val="28"/>
          <w:rtl/>
        </w:rPr>
        <w:t>و معنى ذلك أن قضاة النظام القضائي الموحد يتلقون تكوينا قضائيا موحدا لا فرق فيه بينهم على أساس طبيعة النزاعات، التي يفترض أنهم سيتولون الفصل فيها و بعبارة أخرى فهو تكوين عام لا يقوم على التخصص.</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وحدة السلطة القضائية: </w:t>
      </w:r>
      <w:r w:rsidRPr="00A46485">
        <w:rPr>
          <w:rFonts w:ascii="Simplified Arabic" w:hAnsi="Simplified Arabic" w:cs="Simplified Arabic"/>
          <w:sz w:val="28"/>
          <w:szCs w:val="28"/>
          <w:rtl/>
        </w:rPr>
        <w:t>ومفاده خضوع الهيكل القضائي الموحد بجميع قضاته لسلطة واحدة هي سلطة وزير العدل.</w:t>
      </w: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2</w:t>
      </w:r>
      <w:r w:rsidRPr="00A46485">
        <w:rPr>
          <w:rFonts w:ascii="Simplified Arabic" w:hAnsi="Simplified Arabic" w:cs="Simplified Arabic"/>
          <w:b/>
          <w:bCs/>
          <w:sz w:val="28"/>
          <w:szCs w:val="28"/>
          <w:rtl/>
        </w:rPr>
        <w:t>/ تقييم نظام القضاء الموحد:</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يمكن أن نحصر مزاياه وعيوبه فيما يلي:</w:t>
      </w:r>
      <w:r w:rsidRPr="00A46485">
        <w:rPr>
          <w:rStyle w:val="Appelnotedebasdep"/>
          <w:rFonts w:ascii="Simplified Arabic" w:hAnsi="Simplified Arabic" w:cs="Simplified Arabic"/>
          <w:b/>
          <w:bCs/>
          <w:sz w:val="28"/>
          <w:szCs w:val="28"/>
          <w:rtl/>
        </w:rPr>
        <w:footnoteReference w:id="32"/>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 المزايا:</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يتسم هذا النظام بالبساطة والوضوح، حيث يعلم المتقاضي من البداية الجهة المختصة بالنظر في دعواه، ولا يثير مشكلة أي جهة مختصة كما هو الحال في نظام الازدواجية القضائية.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سلطات القاضي في هذا النظام أكثر اتساع وفاعلية في مواجهة الإدارة، كونه يعاملها بنفس طريقة معاملة الأشخاص العادية.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يحقق مساواة الجميع أمام القانون والقضاء، هذا من خلال خضوع جميع النزاعات القضائية مهما كان أطرافها لهيكل قضائي واحد، وقواعد قانونية إجرائية وموضوعية واحدة.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ب/ سلبياته: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يتجاهل هذا النظام الطبيعة الخاصة لنشاط الإدارة والسلطات والامتيازات التي يجب أن تتمتع بها. لافتقاره لعنصر التخصص من خلال إخضاعه جميع النزاعات لنفس الهيكل القضائي ونفس القواعد القانونية الموضوعية والإجرائية، وهذا دون أدنى مراعاة لخصوصية بعض النزاعات وخصوصية أطرافها كالنزاعات ذات الصبغة الإدارية.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هذا النظام يتجاهل الحد الأدنى والضروري للامتيازات التي ينبغي على الإدارة التمتع بها لتحقيق المنفعة العامة.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فيه إخلال بمبدأ الفصل بين السلطات من خلال إتاحته الفرصة للسلطة القضائية للتدخل في شؤون السلطة </w:t>
      </w:r>
      <w:proofErr w:type="gramStart"/>
      <w:r w:rsidRPr="00A46485">
        <w:rPr>
          <w:rFonts w:ascii="Simplified Arabic" w:hAnsi="Simplified Arabic" w:cs="Simplified Arabic"/>
          <w:sz w:val="28"/>
          <w:szCs w:val="28"/>
          <w:rtl/>
        </w:rPr>
        <w:t>التنفيذية .</w:t>
      </w:r>
      <w:proofErr w:type="gramEnd"/>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نظام القضاء المزدوج</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proofErr w:type="gramStart"/>
      <w:r w:rsidRPr="00A46485">
        <w:rPr>
          <w:rFonts w:ascii="Simplified Arabic" w:hAnsi="Simplified Arabic" w:cs="Simplified Arabic"/>
          <w:sz w:val="28"/>
          <w:szCs w:val="28"/>
          <w:rtl/>
        </w:rPr>
        <w:t>و هناك</w:t>
      </w:r>
      <w:proofErr w:type="gramEnd"/>
      <w:r w:rsidRPr="00A46485">
        <w:rPr>
          <w:rFonts w:ascii="Simplified Arabic" w:hAnsi="Simplified Arabic" w:cs="Simplified Arabic"/>
          <w:sz w:val="28"/>
          <w:szCs w:val="28"/>
          <w:rtl/>
        </w:rPr>
        <w:t xml:space="preserve"> من يسميه بنظام الازدواجية القضائية، و مفاده أن يتشكل التنظيم القضائي داخل الدولة من جهتين قضائيتين منفصلتين، الأولى عادية تتولى الفصل النزاعات القضائية العادية و تطبق بخصوصها قواعد القانون الخاص، و الثانية إدارية تتولى الفصل في النزاعات ذات الصبغة الإدارية و تطبق بشأنها مبادئ و قواعد قانونية إجرائية و موضوعية، متميزة و غير مألوفة في نطاق القانون الخاص و هي ما يعبر عنها بقواعد القانون الإداري.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وينتشر نظام الازدواجية القضائية بفرنسا وكثير من الدول في العالم، أغلبها كانت مستعمرة من قبل من قبل فرنسا مثل الجزائر، وقد وجد القانون الإداري الفرنسي صداه حتى في بعض البلدان التي لم تكن تحت الاستعمار الفرنسي من قبل مثل جمهورية مصر العربية.</w:t>
      </w:r>
      <w:r w:rsidRPr="00A46485">
        <w:rPr>
          <w:rStyle w:val="Appelnotedebasdep"/>
          <w:rFonts w:ascii="Simplified Arabic" w:hAnsi="Simplified Arabic" w:cs="Simplified Arabic"/>
          <w:sz w:val="28"/>
          <w:szCs w:val="28"/>
          <w:rtl/>
        </w:rPr>
        <w:footnoteReference w:id="33"/>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1/ مميزات نظام القضائي المزدوج:</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ازدواجية الهياكل: </w:t>
      </w:r>
      <w:r w:rsidRPr="00A46485">
        <w:rPr>
          <w:rFonts w:ascii="Simplified Arabic" w:hAnsi="Simplified Arabic" w:cs="Simplified Arabic"/>
          <w:sz w:val="28"/>
          <w:szCs w:val="28"/>
          <w:rtl/>
        </w:rPr>
        <w:t>ومفاد ذلك</w:t>
      </w: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أن يتشكل التنظيم القضائي داخل الدولة من هيكلين قضائيين، الأول عادي والثاني إداري، وبين الهيكلين تؤسس محكمة تدعى محكمة التنازع غايتها الفصل في حالات تنازع الاختصاص بين الجهتين القضائيتين المختلفتين.</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r>
      <w:r w:rsidRPr="00A46485">
        <w:rPr>
          <w:rFonts w:ascii="Simplified Arabic" w:hAnsi="Simplified Arabic" w:cs="Simplified Arabic"/>
          <w:b/>
          <w:bCs/>
          <w:sz w:val="28"/>
          <w:szCs w:val="28"/>
          <w:rtl/>
        </w:rPr>
        <w:t xml:space="preserve"> ازدواجية المنازعات: </w:t>
      </w:r>
      <w:r w:rsidRPr="00A46485">
        <w:rPr>
          <w:rFonts w:ascii="Simplified Arabic" w:hAnsi="Simplified Arabic" w:cs="Simplified Arabic"/>
          <w:sz w:val="28"/>
          <w:szCs w:val="28"/>
          <w:rtl/>
        </w:rPr>
        <w:t>في نظام الازدواجية القضائية لا تعامل جميع المنازعات معاملة مماثلة، إذ هناك تمييز بين النزاعات العادية والتي تخضع لرقابة القضاء العادي والمنازعات الإدارية وتخضع لرقابة القضاء الإداري.</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noBreakHyphen/>
        <w:t xml:space="preserve"> </w:t>
      </w:r>
      <w:r w:rsidRPr="00A46485">
        <w:rPr>
          <w:rFonts w:ascii="Simplified Arabic" w:hAnsi="Simplified Arabic" w:cs="Simplified Arabic"/>
          <w:b/>
          <w:bCs/>
          <w:sz w:val="28"/>
          <w:szCs w:val="28"/>
          <w:rtl/>
        </w:rPr>
        <w:t>ازدواجية السلك القضائي:</w:t>
      </w:r>
      <w:r w:rsidRPr="00A46485">
        <w:rPr>
          <w:rFonts w:ascii="Simplified Arabic" w:hAnsi="Simplified Arabic" w:cs="Simplified Arabic"/>
          <w:sz w:val="28"/>
          <w:szCs w:val="28"/>
          <w:rtl/>
        </w:rPr>
        <w:t xml:space="preserve"> يعني ذلك أن قضاة القضاء العادي ليسوا هم قضاة القضاء الإداري لا من حيث التعيين أو التكوين أو القانون الذي يخضعون له.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w:t>
      </w:r>
      <w:r w:rsidRPr="00A46485">
        <w:rPr>
          <w:rFonts w:ascii="Simplified Arabic" w:hAnsi="Simplified Arabic" w:cs="Simplified Arabic"/>
          <w:sz w:val="28"/>
          <w:szCs w:val="28"/>
          <w:rtl/>
        </w:rPr>
        <w:t>في هذا النظام تقع الإدارة في مركز أسمى نتيجة الامتيازات التي تتمتع بها في مواجهة الأفراد.</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2/ </w:t>
      </w:r>
      <w:r w:rsidRPr="00A46485">
        <w:rPr>
          <w:rFonts w:ascii="Simplified Arabic" w:hAnsi="Simplified Arabic" w:cs="Simplified Arabic"/>
          <w:b/>
          <w:bCs/>
          <w:sz w:val="28"/>
          <w:szCs w:val="28"/>
          <w:rtl/>
        </w:rPr>
        <w:t>تقدير نظام القضائي المزدوج:</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ينسب لهذا النظام مزايا لا يمكن </w:t>
      </w:r>
      <w:proofErr w:type="gramStart"/>
      <w:r w:rsidRPr="00A46485">
        <w:rPr>
          <w:rFonts w:ascii="Simplified Arabic" w:hAnsi="Simplified Arabic" w:cs="Simplified Arabic"/>
          <w:sz w:val="28"/>
          <w:szCs w:val="28"/>
          <w:rtl/>
        </w:rPr>
        <w:t>إغفالها ،</w:t>
      </w:r>
      <w:proofErr w:type="gramEnd"/>
      <w:r w:rsidRPr="00A46485">
        <w:rPr>
          <w:rFonts w:ascii="Simplified Arabic" w:hAnsi="Simplified Arabic" w:cs="Simplified Arabic"/>
          <w:sz w:val="28"/>
          <w:szCs w:val="28"/>
          <w:rtl/>
        </w:rPr>
        <w:t xml:space="preserve"> إلا أنه على الرغم من ذلك وجهت له بعض الانتقادات  ويمكن تلخيص أهم المزايا والانتقادات التي وجهت لهذا النظام فيما يلي:</w:t>
      </w:r>
      <w:r w:rsidRPr="00A46485">
        <w:rPr>
          <w:rStyle w:val="Appelnotedebasdep"/>
          <w:rFonts w:ascii="Simplified Arabic" w:hAnsi="Simplified Arabic" w:cs="Simplified Arabic"/>
          <w:sz w:val="28"/>
          <w:szCs w:val="28"/>
          <w:rtl/>
        </w:rPr>
        <w:footnoteReference w:id="34"/>
      </w: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أ/ مزاياه: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w:t>
      </w:r>
      <w:r w:rsidRPr="00A46485">
        <w:rPr>
          <w:rFonts w:ascii="Simplified Arabic" w:hAnsi="Simplified Arabic" w:cs="Simplified Arabic"/>
          <w:sz w:val="28"/>
          <w:szCs w:val="28"/>
          <w:rtl/>
        </w:rPr>
        <w:t>يؤدي الأخذ بهذا النظام إلى تجسيد مبدأ التخصص وتقسيم العمل، مما يجعل الرقابة القضائية أكثر فعالية، وهو ما يؤدي إلى ضمان مبدأ المشروعية وإعلاء فكرة الدولة القانونية.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أدى الأخذ بهذا النظام إلى اثراء نظرية القانون، حيث ساهم القضاء الإداري في خلق فرع قانوني بنظرياته المعروفة وهو القانون الإداري.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وجود هذا النظام يعني تحقيق عدالة سريعة، لأن وجوده معناه تخفيف العبء على المحاكم العادية التي ستعرف تزايد في عدد القضايا وتراكمها إذ أضفنا إليها القضايا الإدارية.</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ب/ سلبياته:</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noBreakHyphen/>
        <w:t xml:space="preserve"> </w:t>
      </w:r>
      <w:r w:rsidRPr="00A46485">
        <w:rPr>
          <w:rFonts w:ascii="Simplified Arabic" w:hAnsi="Simplified Arabic" w:cs="Simplified Arabic"/>
          <w:sz w:val="28"/>
          <w:szCs w:val="28"/>
          <w:rtl/>
        </w:rPr>
        <w:t>هذا النظام يحابي الإدارة العامة على حساب حقوق وحريات الأفراد عند الفصل في المنازعات الإدارية، وهذا لا يعني أنه مع الإدارة ضد الأفراد، بل هذا النظام وجد لمراعاة خصوصيات ومقتضيات الإدارة العامة.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نظام معقد وصعب التطبيق ويثير عديد المشاكل خاصة مشكلة تنازع الاختصاص، وغالبا ما يتحمل المتقاضين أعباء ذلك_ ماديا وزمنيا _ بسبب تحديد جهة الاختصاص.</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الفصل الأول: الرقابة على أعمال الإدارة في النظام القضائي الجزائري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عرفت الرقابة القضائية على أعمال الإدارة في الجزائر المرور بمرحلتين أساسيتين، اختلفت فيهما هذه الرقابة من حيث تنظيم الجهاز القضائي، حيث من الاستقلال الى غاية 1996 تميز النظام القضائي بالوحدة، ثم بعد ذلك تبنى المؤسس الدستوري الازدواجية القضائية بموجب دستور </w:t>
      </w:r>
      <w:proofErr w:type="gramStart"/>
      <w:r w:rsidRPr="00A46485">
        <w:rPr>
          <w:rFonts w:ascii="Simplified Arabic" w:hAnsi="Simplified Arabic" w:cs="Simplified Arabic"/>
          <w:sz w:val="28"/>
          <w:szCs w:val="28"/>
          <w:rtl/>
        </w:rPr>
        <w:t>1996 ،</w:t>
      </w:r>
      <w:proofErr w:type="gramEnd"/>
      <w:r w:rsidRPr="00A46485">
        <w:rPr>
          <w:rFonts w:ascii="Simplified Arabic" w:hAnsi="Simplified Arabic" w:cs="Simplified Arabic"/>
          <w:sz w:val="28"/>
          <w:szCs w:val="28"/>
          <w:rtl/>
        </w:rPr>
        <w:t xml:space="preserve"> والتي تأكدت فعليا مع صدور القانون العضوي الخاص بمجلس الدولة ، وقانون المحاكم الإدارية والقانون العضوي الخاص بمحكمة التنازع سنة 1998.</w:t>
      </w: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المبحث الأول: النظام القضائي الجزائري في ظل وحدة القضاء</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قبل دراسة هيئات القضاء الإداري الحالية، المنبثقة عن النظام القضائي المزدوج الذي كرسه دستور 18/11 /1996، تقتضي الدراسة العلمية أن نلمح بصفة وجيزة للهيئات القضائية المختصة بالفصل في النزاعات الإدارية في الفترة السابقة عن دستور 1996.</w:t>
      </w:r>
    </w:p>
    <w:p w:rsidR="001C61F9" w:rsidRPr="00A46485" w:rsidRDefault="001C61F9" w:rsidP="001C61F9">
      <w:pPr>
        <w:jc w:val="right"/>
        <w:rPr>
          <w:rFonts w:ascii="Simplified Arabic" w:hAnsi="Simplified Arabic" w:cs="Simplified Arabic"/>
          <w:sz w:val="28"/>
          <w:szCs w:val="28"/>
          <w:rtl/>
        </w:rPr>
      </w:pPr>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b/>
          <w:bCs/>
          <w:sz w:val="28"/>
          <w:szCs w:val="28"/>
          <w:rtl/>
        </w:rPr>
        <w:t xml:space="preserve">المطلب الأول: مرحلة الازدواجية على مستوى القاعدة </w:t>
      </w:r>
      <w:proofErr w:type="gramStart"/>
      <w:r w:rsidRPr="00A46485">
        <w:rPr>
          <w:rFonts w:ascii="Simplified Arabic" w:hAnsi="Simplified Arabic" w:cs="Simplified Arabic"/>
          <w:b/>
          <w:bCs/>
          <w:sz w:val="28"/>
          <w:szCs w:val="28"/>
          <w:rtl/>
        </w:rPr>
        <w:t>و الأحادية</w:t>
      </w:r>
      <w:proofErr w:type="gramEnd"/>
      <w:r w:rsidRPr="00A46485">
        <w:rPr>
          <w:rFonts w:ascii="Simplified Arabic" w:hAnsi="Simplified Arabic" w:cs="Simplified Arabic"/>
          <w:b/>
          <w:bCs/>
          <w:sz w:val="28"/>
          <w:szCs w:val="28"/>
          <w:rtl/>
        </w:rPr>
        <w:t xml:space="preserve"> على مستوى القمة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هي الفترة الممتدة بين 1962 إلى غاية سنة 1965 ،  فبعد أن حصلت الجزائر على الاستقلال ، كان عليها أن تختار بين أمرين</w:t>
      </w:r>
      <w:r w:rsidRPr="00A46485">
        <w:rPr>
          <w:rStyle w:val="Appelnotedebasdep"/>
          <w:rFonts w:ascii="Simplified Arabic" w:hAnsi="Simplified Arabic" w:cs="Simplified Arabic"/>
          <w:sz w:val="28"/>
          <w:szCs w:val="28"/>
          <w:rtl/>
        </w:rPr>
        <w:footnoteReference w:id="35"/>
      </w:r>
      <w:r w:rsidRPr="00A46485">
        <w:rPr>
          <w:rFonts w:ascii="Simplified Arabic" w:hAnsi="Simplified Arabic" w:cs="Simplified Arabic"/>
          <w:sz w:val="28"/>
          <w:szCs w:val="28"/>
          <w:rtl/>
        </w:rPr>
        <w:t xml:space="preserve">، أحدهما إما تطبيق القانون الفرنسي وتستثني كل ما هو مجحف استعماري وثانيهما أن تقوم بخلق وابتكار قواعد ومبادئ جديدة  في الجانب القانوني والقضائي ، لكن  الحالة المزرية التي كانت أمامها الجزائر حتم عليها أن تطبق النظام الفرنسي لفترة قصيرة ، من أجل ملء الفراغ القانوني الذي تركه القضاة الفرنسيين بعد أن تركوا مناصبهم ، الأمر الذي انعكس على نشاط القضاء الإداري ، وبصفة خاصة المحاكم الإدارية الثلاث ، إن هذا الانعكاس قد مس الكثير من المسائل منها: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proofErr w:type="gramStart"/>
      <w:r w:rsidRPr="00A46485">
        <w:rPr>
          <w:rFonts w:ascii="Simplified Arabic" w:hAnsi="Simplified Arabic" w:cs="Simplified Arabic"/>
          <w:sz w:val="28"/>
          <w:szCs w:val="28"/>
          <w:rtl/>
        </w:rPr>
        <w:noBreakHyphen/>
        <w:t xml:space="preserve">  ضرورة</w:t>
      </w:r>
      <w:proofErr w:type="gramEnd"/>
      <w:r w:rsidRPr="00A46485">
        <w:rPr>
          <w:rFonts w:ascii="Simplified Arabic" w:hAnsi="Simplified Arabic" w:cs="Simplified Arabic"/>
          <w:sz w:val="28"/>
          <w:szCs w:val="28"/>
          <w:rtl/>
        </w:rPr>
        <w:t xml:space="preserve"> الإبقاء على الهيئات القضائية الإدارية، لذا قام المجلس الوطني التأسيسي بالمصادقة على القانون رقم 62</w:t>
      </w:r>
      <w:r w:rsidRPr="00A46485">
        <w:rPr>
          <w:rFonts w:ascii="Simplified Arabic" w:hAnsi="Simplified Arabic" w:cs="Simplified Arabic"/>
          <w:sz w:val="28"/>
          <w:szCs w:val="28"/>
          <w:rtl/>
        </w:rPr>
        <w:noBreakHyphen/>
        <w:t xml:space="preserve"> 157 المؤرخ في 31 ديسمبر 1962 الذي سمح ببقاء الهيئات الإدارية القائمة في الجزائر قبل هذا التاريخ.</w:t>
      </w:r>
      <w:r w:rsidRPr="00A46485">
        <w:rPr>
          <w:rStyle w:val="Appelnotedebasdep"/>
          <w:rFonts w:ascii="Simplified Arabic" w:hAnsi="Simplified Arabic" w:cs="Simplified Arabic"/>
          <w:sz w:val="28"/>
          <w:szCs w:val="28"/>
          <w:rtl/>
        </w:rPr>
        <w:footnoteReference w:id="36"/>
      </w:r>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شطب كافة القضايا الإدارية القائمة أمام القضاء الإداري الفرنسي (مجلس الدولة) والمتعلقة بالدولة الجزائرية بموجب الاتفاق المبرم بين الطرفين بتاريخ 28 أوت 1962 بمقتضى المرسوم رقم 515 لسنة 1962 بتاريخ 07 سبتمبر </w:t>
      </w:r>
      <w:proofErr w:type="gramStart"/>
      <w:r w:rsidRPr="00A46485">
        <w:rPr>
          <w:rFonts w:ascii="Simplified Arabic" w:hAnsi="Simplified Arabic" w:cs="Simplified Arabic"/>
          <w:sz w:val="28"/>
          <w:szCs w:val="28"/>
          <w:rtl/>
        </w:rPr>
        <w:t>1962 ،</w:t>
      </w:r>
      <w:proofErr w:type="gramEnd"/>
      <w:r w:rsidRPr="00A46485">
        <w:rPr>
          <w:rFonts w:ascii="Simplified Arabic" w:hAnsi="Simplified Arabic" w:cs="Simplified Arabic"/>
          <w:sz w:val="28"/>
          <w:szCs w:val="28"/>
          <w:rtl/>
        </w:rPr>
        <w:t xml:space="preserve"> كما أصبحت الأحكام تصدر باسم الشعب الجزائري وفقا للمرسوم  157 لسنة  1962 ، الصادر بتاريخ 10/06/1962.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w:t>
      </w:r>
      <w:r w:rsidRPr="00A46485">
        <w:rPr>
          <w:rFonts w:ascii="Simplified Arabic" w:hAnsi="Simplified Arabic" w:cs="Simplified Arabic"/>
          <w:sz w:val="28"/>
          <w:szCs w:val="28"/>
          <w:rtl/>
        </w:rPr>
        <w:noBreakHyphen/>
        <w:t xml:space="preserve"> صدور الأمر 63-218 المؤرخ في 18 جوان 1963 المتعلق بإحداث المجلس الأعلى (المحكمة العليا حاليا)، وهو أول تأسيس للنظام القضائي الجزائري، مهمة هذا المجلس ممارسة الاختصاصات التي </w:t>
      </w:r>
      <w:proofErr w:type="gramStart"/>
      <w:r w:rsidRPr="00A46485">
        <w:rPr>
          <w:rFonts w:ascii="Simplified Arabic" w:hAnsi="Simplified Arabic" w:cs="Simplified Arabic"/>
          <w:sz w:val="28"/>
          <w:szCs w:val="28"/>
          <w:rtl/>
        </w:rPr>
        <w:t>كانت  لمجلس</w:t>
      </w:r>
      <w:proofErr w:type="gramEnd"/>
      <w:r w:rsidRPr="00A46485">
        <w:rPr>
          <w:rFonts w:ascii="Simplified Arabic" w:hAnsi="Simplified Arabic" w:cs="Simplified Arabic"/>
          <w:sz w:val="28"/>
          <w:szCs w:val="28"/>
          <w:rtl/>
        </w:rPr>
        <w:t xml:space="preserve"> الدولة الفرنسي. فيما يتعلق بالاستئناف وقضايا النقض، المتعلقة بالأحكام الصادرة عن المحاكم.</w:t>
      </w:r>
      <w:r w:rsidRPr="00A46485">
        <w:rPr>
          <w:rStyle w:val="Appelnotedebasdep"/>
          <w:rFonts w:ascii="Simplified Arabic" w:hAnsi="Simplified Arabic" w:cs="Simplified Arabic"/>
          <w:sz w:val="28"/>
          <w:szCs w:val="28"/>
          <w:rtl/>
        </w:rPr>
        <w:footnoteReference w:id="37"/>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بصدور هذا الأمر أعلاه تم الإبقاء على استمرارية العمل بالمحاكم الإدارية الثالث، وورثت هذه المحاكم اختصاصات المحاكم السابقة، مع قابلية أحكامها للاستئناف أمام الغرفة الإدارية بالمجلس الأعلى. لكن صلاحيات هذه المحاكم لم تبقى كما كانت في العهد الاستعماري تنظر في دعاوى الإلغاء والقضاء الكامل، بل جردت من صلاحيات الإلغاء وبقي اختصاصها فقط في دعاوى القضاء الكامل. أي أصبحت دعوى الإلغاء أهم دعاوى المشروعية، دعوى مركزية من اختصاص الغرفة الإدارية بالمجلس الأعلى مهما كانت الإدارة الطرف محلية أو </w:t>
      </w:r>
      <w:proofErr w:type="gramStart"/>
      <w:r w:rsidRPr="00A46485">
        <w:rPr>
          <w:rFonts w:ascii="Simplified Arabic" w:hAnsi="Simplified Arabic" w:cs="Simplified Arabic"/>
          <w:sz w:val="28"/>
          <w:szCs w:val="28"/>
          <w:rtl/>
        </w:rPr>
        <w:t>مركزية.</w:t>
      </w:r>
      <w:r w:rsidRPr="00A46485">
        <w:rPr>
          <w:rFonts w:ascii="Simplified Arabic" w:hAnsi="Simplified Arabic" w:cs="Simplified Arabic"/>
          <w:sz w:val="28"/>
          <w:szCs w:val="28"/>
        </w:rPr>
        <w:t>.</w:t>
      </w:r>
      <w:proofErr w:type="gramEnd"/>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المطلب </w:t>
      </w:r>
      <w:proofErr w:type="gramStart"/>
      <w:r w:rsidRPr="00A46485">
        <w:rPr>
          <w:rFonts w:ascii="Simplified Arabic" w:hAnsi="Simplified Arabic" w:cs="Simplified Arabic"/>
          <w:b/>
          <w:bCs/>
          <w:sz w:val="28"/>
          <w:szCs w:val="28"/>
          <w:rtl/>
        </w:rPr>
        <w:t>الثاني :</w:t>
      </w:r>
      <w:proofErr w:type="gramEnd"/>
      <w:r w:rsidRPr="00A46485">
        <w:rPr>
          <w:rFonts w:ascii="Simplified Arabic" w:hAnsi="Simplified Arabic" w:cs="Simplified Arabic"/>
          <w:b/>
          <w:bCs/>
          <w:sz w:val="28"/>
          <w:szCs w:val="28"/>
          <w:rtl/>
        </w:rPr>
        <w:t xml:space="preserve"> مرحلة الإصلاح القضائي والأحادية القضائية المرنة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تبدأ هذه المرحلة منذ الإصلاح القضائي لسنة </w:t>
      </w:r>
      <w:proofErr w:type="gramStart"/>
      <w:r w:rsidRPr="00A46485">
        <w:rPr>
          <w:rFonts w:ascii="Simplified Arabic" w:hAnsi="Simplified Arabic" w:cs="Simplified Arabic"/>
          <w:sz w:val="28"/>
          <w:szCs w:val="28"/>
          <w:rtl/>
        </w:rPr>
        <w:t>1965 ،</w:t>
      </w:r>
      <w:proofErr w:type="gramEnd"/>
      <w:r w:rsidRPr="00A46485">
        <w:rPr>
          <w:rFonts w:ascii="Simplified Arabic" w:hAnsi="Simplified Arabic" w:cs="Simplified Arabic"/>
          <w:sz w:val="28"/>
          <w:szCs w:val="28"/>
          <w:rtl/>
        </w:rPr>
        <w:t xml:space="preserve"> و استمرت إلى غاية التعديل الدستوري لسنة 1996 ، و قد وصفت بهذا الوصف نظرا لما جاء به الإصلاح القضائي لسنة 1965 ، الذي وحد الهيكل القضائي، بحيث أصبح يتشكل هذا الأخير من المحاكم الابتدائية على مستوى القاعدة و المجالس القضائية كدرجة ثانية من درجات التقاضي، و المجلس الأعلى للقضاء على رأس الهرم القضائي.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ورغم هذه الوحدة الهيكلية إلا أن النظام القضائي في الجزائر كان ابعد بكثير عن نظام الوحدة القضائية بمفهومه الأنجلو كسوني السالف الذكر، فحتى لو تم توحيد الهياكل القضائية إلا أن القانون الإداري بمفهومه الفرنسي الفني و الضيق ظل مطبقا بالجزائر، فلقد بقي التشريع الجزائري يقيم تمييزا بين النزاع الإداري و النزاع العادي، و ذلك بموجب المادة 07 من قانون الإجراءات المدنية لسنة 1966</w:t>
      </w:r>
      <w:r w:rsidRPr="00A46485">
        <w:rPr>
          <w:rStyle w:val="Appelnotedebasdep"/>
          <w:rFonts w:ascii="Simplified Arabic" w:hAnsi="Simplified Arabic" w:cs="Simplified Arabic"/>
          <w:sz w:val="28"/>
          <w:szCs w:val="28"/>
          <w:rtl/>
        </w:rPr>
        <w:footnoteReference w:id="38"/>
      </w:r>
      <w:r w:rsidRPr="00A46485">
        <w:rPr>
          <w:rFonts w:ascii="Simplified Arabic" w:hAnsi="Simplified Arabic" w:cs="Simplified Arabic"/>
          <w:sz w:val="28"/>
          <w:szCs w:val="28"/>
          <w:rtl/>
        </w:rPr>
        <w:t xml:space="preserve"> ، و قد تم تخصيص غرف إدارية على مستوى المجالس القضائية ، و المجلس الأعلى للقضاء من أجل الفصل في النزاعات الإدارية، و ذلك بتطبيق جملة من المبادئ و القواعد القانونية الموضوعية و الإجرائية، المتميزة عن قواعد القانون الخاص و التي ما هي إلا تجسيد للقانون الإداري بمفهومه الفني و التقني السائد.  ولهذا فان هذه المرحلة ألحق بها وصف ثاني يقابل الوصف الأول السالف الذكر، فصح وصفها بمرحلة وحدة الهياكل القضائية </w:t>
      </w:r>
      <w:proofErr w:type="gramStart"/>
      <w:r w:rsidRPr="00A46485">
        <w:rPr>
          <w:rFonts w:ascii="Simplified Arabic" w:hAnsi="Simplified Arabic" w:cs="Simplified Arabic"/>
          <w:sz w:val="28"/>
          <w:szCs w:val="28"/>
          <w:rtl/>
        </w:rPr>
        <w:t>و ازدواجية</w:t>
      </w:r>
      <w:proofErr w:type="gramEnd"/>
      <w:r w:rsidRPr="00A46485">
        <w:rPr>
          <w:rFonts w:ascii="Simplified Arabic" w:hAnsi="Simplified Arabic" w:cs="Simplified Arabic"/>
          <w:sz w:val="28"/>
          <w:szCs w:val="28"/>
          <w:rtl/>
        </w:rPr>
        <w:t xml:space="preserve"> المنازعات.</w:t>
      </w:r>
      <w:r w:rsidRPr="00A46485">
        <w:rPr>
          <w:rStyle w:val="Appelnotedebasdep"/>
          <w:rFonts w:ascii="Simplified Arabic" w:hAnsi="Simplified Arabic" w:cs="Simplified Arabic"/>
          <w:sz w:val="28"/>
          <w:szCs w:val="28"/>
          <w:rtl/>
        </w:rPr>
        <w:footnoteReference w:id="39"/>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 داخل هذه المرحلة يمكن أن نقيم تمييزا بين مرحلتين، مرحلة 1965-1990 و مرحلة 1990-</w:t>
      </w:r>
      <w:proofErr w:type="gramStart"/>
      <w:r w:rsidRPr="00A46485">
        <w:rPr>
          <w:rFonts w:ascii="Simplified Arabic" w:hAnsi="Simplified Arabic" w:cs="Simplified Arabic"/>
          <w:sz w:val="28"/>
          <w:szCs w:val="28"/>
          <w:rtl/>
        </w:rPr>
        <w:t>1996 .</w:t>
      </w:r>
      <w:proofErr w:type="gramEnd"/>
    </w:p>
    <w:p w:rsidR="001C61F9" w:rsidRPr="00A46485" w:rsidRDefault="001C61F9" w:rsidP="001C61F9">
      <w:pPr>
        <w:jc w:val="right"/>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الأول: المرحلة الأولى الممتدة من 1965إلى 1990</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في هذه المرحلة تم التأسيس للنظام القضائي الجزائري بشكل كامل، والتخلي عن المحاكم الإدارية الثالث الموروثة عن العهد الاستعماري.</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حيث بموجب الأمر 65-278 المؤرخ في 16 نوفمبر 1965 المتعلق بالتنظيم القضائي، تم إنشاء 15 مجلس قضائي بموجب المادة الأولى </w:t>
      </w:r>
      <w:proofErr w:type="gramStart"/>
      <w:r w:rsidRPr="00A46485">
        <w:rPr>
          <w:rFonts w:ascii="Simplified Arabic" w:hAnsi="Simplified Arabic" w:cs="Simplified Arabic"/>
          <w:sz w:val="28"/>
          <w:szCs w:val="28"/>
          <w:rtl/>
        </w:rPr>
        <w:t xml:space="preserve">منه </w:t>
      </w:r>
      <w:r w:rsidRPr="00A46485">
        <w:rPr>
          <w:rStyle w:val="Appelnotedebasdep"/>
          <w:rFonts w:ascii="Simplified Arabic" w:hAnsi="Simplified Arabic" w:cs="Simplified Arabic"/>
          <w:sz w:val="28"/>
          <w:szCs w:val="28"/>
          <w:rtl/>
        </w:rPr>
        <w:footnoteReference w:id="40"/>
      </w:r>
      <w:r w:rsidRPr="00A46485">
        <w:rPr>
          <w:rFonts w:ascii="Simplified Arabic" w:hAnsi="Simplified Arabic" w:cs="Simplified Arabic"/>
          <w:sz w:val="28"/>
          <w:szCs w:val="28"/>
          <w:rtl/>
        </w:rPr>
        <w:t xml:space="preserve"> ،</w:t>
      </w:r>
      <w:proofErr w:type="gramEnd"/>
      <w:r w:rsidRPr="00A46485">
        <w:rPr>
          <w:rFonts w:ascii="Simplified Arabic" w:hAnsi="Simplified Arabic" w:cs="Simplified Arabic"/>
          <w:sz w:val="28"/>
          <w:szCs w:val="28"/>
          <w:rtl/>
        </w:rPr>
        <w:t xml:space="preserve"> ونصت المادة الثانية منه على حلول هذه المجالس محل محاكم الاستئناف والمحاكم محل المحاكم الابتدائية الكبرى والمحاكم الابتدائية الموروثة عن الفترة الاستعمارية.</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أما المادة 05 منه فنقلت الاختصاصات الموكلة للمحاكم الإدارية الثلاثة الموروثة عن فترة الاحتلال إلى الغرف الإدارية الثلاث بالمجالس القضائية، وبذلك يكون المشرع قد وضع حد للازدواجية القضائية على مستوى قاعدة التنظيم القضائي </w:t>
      </w:r>
      <w:proofErr w:type="gramStart"/>
      <w:r w:rsidRPr="00A46485">
        <w:rPr>
          <w:rFonts w:ascii="Simplified Arabic" w:hAnsi="Simplified Arabic" w:cs="Simplified Arabic"/>
          <w:sz w:val="28"/>
          <w:szCs w:val="28"/>
          <w:rtl/>
        </w:rPr>
        <w:t>الجزائري .</w:t>
      </w:r>
      <w:proofErr w:type="gramEnd"/>
      <w:r w:rsidRPr="00A46485">
        <w:rPr>
          <w:rFonts w:ascii="Simplified Arabic" w:hAnsi="Simplified Arabic" w:cs="Simplified Arabic"/>
          <w:sz w:val="28"/>
          <w:szCs w:val="28"/>
          <w:rtl/>
        </w:rPr>
        <w:t xml:space="preserve">   </w:t>
      </w:r>
    </w:p>
    <w:p w:rsidR="001C61F9" w:rsidRPr="00A46485" w:rsidRDefault="001C61F9" w:rsidP="001C61F9">
      <w:pPr>
        <w:jc w:val="right"/>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ووزعت المادة 7 و7 مكرر والمادة 274 من قانون الإجراءات المدنية (ملغى)، الاختصاصات القضائية بين الغرف الادارية بالمجالس القضائية والتي زاد عددها والغرفة الادارية بالمحكمة العليا ، حيث أصبحت الغرف الادارية بالمجالس القضائية صاحبة الولاية العامة في المنازعات الإدارية، أما الاستئناف يكون أمام الغرفة الادارية بالمجلس الأعلى ، هذه الأخيرة وحدها المختصة بالفصل في دعاوى تجاوز السلطة العامة دون تمييز بين القرارات المركزية و اللامركزية، وبقيت الغرف على مستوى المجالس القضائية تنظر في دعاوى القضاء الكامل فقط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استمر الأمر على هذا الحال الى غاية 1986 أين صدر القانون رقم 86-01 المؤرخ في 28 </w:t>
      </w:r>
      <w:proofErr w:type="spellStart"/>
      <w:r w:rsidRPr="00A46485">
        <w:rPr>
          <w:rFonts w:ascii="Simplified Arabic" w:hAnsi="Simplified Arabic" w:cs="Simplified Arabic"/>
          <w:sz w:val="28"/>
          <w:szCs w:val="28"/>
          <w:rtl/>
        </w:rPr>
        <w:t>جانفي</w:t>
      </w:r>
      <w:proofErr w:type="spellEnd"/>
      <w:r w:rsidRPr="00A46485">
        <w:rPr>
          <w:rFonts w:ascii="Simplified Arabic" w:hAnsi="Simplified Arabic" w:cs="Simplified Arabic"/>
          <w:sz w:val="28"/>
          <w:szCs w:val="28"/>
          <w:rtl/>
        </w:rPr>
        <w:t xml:space="preserve"> </w:t>
      </w:r>
      <w:proofErr w:type="gramStart"/>
      <w:r w:rsidRPr="00A46485">
        <w:rPr>
          <w:rFonts w:ascii="Simplified Arabic" w:hAnsi="Simplified Arabic" w:cs="Simplified Arabic"/>
          <w:sz w:val="28"/>
          <w:szCs w:val="28"/>
          <w:rtl/>
        </w:rPr>
        <w:t xml:space="preserve">1986 </w:t>
      </w:r>
      <w:r w:rsidRPr="00A46485">
        <w:rPr>
          <w:rStyle w:val="Appelnotedebasdep"/>
          <w:rFonts w:ascii="Simplified Arabic" w:hAnsi="Simplified Arabic" w:cs="Simplified Arabic"/>
          <w:sz w:val="28"/>
          <w:szCs w:val="28"/>
          <w:rtl/>
        </w:rPr>
        <w:footnoteReference w:id="41"/>
      </w:r>
      <w:r w:rsidRPr="00A46485">
        <w:rPr>
          <w:rFonts w:ascii="Simplified Arabic" w:hAnsi="Simplified Arabic" w:cs="Simplified Arabic"/>
          <w:sz w:val="28"/>
          <w:szCs w:val="28"/>
          <w:rtl/>
        </w:rPr>
        <w:t xml:space="preserve"> ،</w:t>
      </w:r>
      <w:proofErr w:type="gramEnd"/>
      <w:r w:rsidRPr="00A46485">
        <w:rPr>
          <w:rFonts w:ascii="Simplified Arabic" w:hAnsi="Simplified Arabic" w:cs="Simplified Arabic"/>
          <w:sz w:val="28"/>
          <w:szCs w:val="28"/>
          <w:rtl/>
        </w:rPr>
        <w:t xml:space="preserve"> ثم صدر المرسوم 86-107 تطبيقا له </w:t>
      </w:r>
      <w:r w:rsidRPr="00A46485">
        <w:rPr>
          <w:rStyle w:val="Appelnotedebasdep"/>
          <w:rFonts w:ascii="Simplified Arabic" w:hAnsi="Simplified Arabic" w:cs="Simplified Arabic"/>
          <w:sz w:val="28"/>
          <w:szCs w:val="28"/>
          <w:rtl/>
        </w:rPr>
        <w:footnoteReference w:id="42"/>
      </w:r>
      <w:r w:rsidRPr="00A46485">
        <w:rPr>
          <w:rFonts w:ascii="Simplified Arabic" w:hAnsi="Simplified Arabic" w:cs="Simplified Arabic"/>
          <w:sz w:val="28"/>
          <w:szCs w:val="28"/>
          <w:rtl/>
        </w:rPr>
        <w:t>، وبموجبه  تم الرفع من عدد الغرف الإدارية من ثلاثة إلى عشرون غرفة ، وعلى اعتبار أنه تم الرفع من عدد المجالس إلى 31 مجلس قضائي ، لكن اختصاص هذه الغرف العشرون ، لم يتغير حيث بقي محصورا في دعاوى القضاء الكامل فقط.</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مما أثر ذلك سلبا على حق التقاضي على درجتين بحيث لم يكن مضمونا بشكل كامل، لأن دعوى الإلغاء وهي أهم دعاوى المشروعية كانت دعوى مركزية</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كما أن ضمان حق التقاضي لم يكن محققا لسببين هما: مركزية دعوى الإلغاء وكان الشرط الأساسي في تحريكها هو ضرورة وجود محامي معتمد لدى هذا المجلس. وهذا الأمر يكلف المتقاضي ماليا مما يؤدي به إلى العزوف عن اللجوء إلى القضاء، وهو ما قد يترتب عنه وجود وبقاء هذه الأعمال الغير مشروعة</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الفرع الثاني: المرحلة الثانية 1990 إلى 1998</w:t>
      </w:r>
      <w:r w:rsidRPr="00A46485">
        <w:rPr>
          <w:rFonts w:ascii="Simplified Arabic" w:hAnsi="Simplified Arabic" w:cs="Simplified Arabic"/>
          <w:b/>
          <w:bCs/>
          <w:sz w:val="28"/>
          <w:szCs w:val="28"/>
        </w:rPr>
        <w:t xml:space="preserve">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تميزت هذه المرحلة بصدور القانون 90 /23 المؤرخ 18 أوت </w:t>
      </w:r>
      <w:proofErr w:type="gramStart"/>
      <w:r w:rsidRPr="00A46485">
        <w:rPr>
          <w:rFonts w:ascii="Simplified Arabic" w:hAnsi="Simplified Arabic" w:cs="Simplified Arabic"/>
          <w:sz w:val="28"/>
          <w:szCs w:val="28"/>
          <w:rtl/>
        </w:rPr>
        <w:t>1990 ،</w:t>
      </w:r>
      <w:proofErr w:type="gramEnd"/>
      <w:r w:rsidRPr="00A46485">
        <w:rPr>
          <w:rStyle w:val="Appelnotedebasdep"/>
          <w:rFonts w:ascii="Simplified Arabic" w:hAnsi="Simplified Arabic" w:cs="Simplified Arabic"/>
          <w:sz w:val="28"/>
          <w:szCs w:val="28"/>
          <w:rtl/>
        </w:rPr>
        <w:footnoteReference w:id="43"/>
      </w:r>
      <w:r w:rsidRPr="00A46485">
        <w:rPr>
          <w:rFonts w:ascii="Simplified Arabic" w:hAnsi="Simplified Arabic" w:cs="Simplified Arabic"/>
          <w:sz w:val="28"/>
          <w:szCs w:val="28"/>
          <w:rtl/>
        </w:rPr>
        <w:t xml:space="preserve"> الذي عدل في قواعد الاختصاص القضائي</w:t>
      </w:r>
      <w:r w:rsidRPr="00A46485">
        <w:rPr>
          <w:rFonts w:ascii="Simplified Arabic" w:hAnsi="Simplified Arabic" w:cs="Simplified Arabic"/>
          <w:b/>
          <w:bCs/>
          <w:sz w:val="28"/>
          <w:szCs w:val="28"/>
          <w:rtl/>
        </w:rPr>
        <w:t xml:space="preserve"> </w:t>
      </w:r>
      <w:r w:rsidRPr="00A46485">
        <w:rPr>
          <w:rFonts w:ascii="Simplified Arabic" w:hAnsi="Simplified Arabic" w:cs="Simplified Arabic"/>
          <w:sz w:val="28"/>
          <w:szCs w:val="28"/>
          <w:rtl/>
        </w:rPr>
        <w:t xml:space="preserve">الواردة بموجب المادة </w:t>
      </w:r>
      <w:r w:rsidRPr="00A46485">
        <w:rPr>
          <w:rFonts w:ascii="Simplified Arabic" w:hAnsi="Simplified Arabic" w:cs="Simplified Arabic"/>
          <w:sz w:val="28"/>
          <w:szCs w:val="28"/>
        </w:rPr>
        <w:t xml:space="preserve">07 </w:t>
      </w:r>
      <w:r w:rsidRPr="00A46485">
        <w:rPr>
          <w:rFonts w:ascii="Simplified Arabic" w:hAnsi="Simplified Arabic" w:cs="Simplified Arabic"/>
          <w:sz w:val="28"/>
          <w:szCs w:val="28"/>
          <w:rtl/>
        </w:rPr>
        <w:t xml:space="preserve"> من قانون الإجراءات المدنية الملغى ، حيث جاء بتنظيم جديد للاختصاص النوعي والمحلي للغرف الإدارية، وتغيير الاختصاص المحفوظ للغرفة الإدارية بالمحكمة العليا.</w:t>
      </w:r>
      <w:r w:rsidRPr="00A46485">
        <w:rPr>
          <w:rStyle w:val="Appelnotedebasdep"/>
          <w:rFonts w:ascii="Simplified Arabic" w:hAnsi="Simplified Arabic" w:cs="Simplified Arabic"/>
          <w:sz w:val="28"/>
          <w:szCs w:val="28"/>
          <w:rtl/>
        </w:rPr>
        <w:footnoteReference w:id="44"/>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وبهذا التعديل حاول المشرع تفادي الانتقادات التي طالت الرقابة القضائية على أعمال الإدارة في الفترة السابقة، خاصة فيما يتعلق بتقريب العدالة من المتقاضين، وضمان حق التقاضي.</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أولا: التنظيم الجديد للاختصاص النوعي والمحلي للغرف الإدارية</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من خلال نص المادة 07 من قانون الإجراءات المدنية </w:t>
      </w:r>
      <w:proofErr w:type="gramStart"/>
      <w:r w:rsidRPr="00A46485">
        <w:rPr>
          <w:rFonts w:ascii="Simplified Arabic" w:hAnsi="Simplified Arabic" w:cs="Simplified Arabic"/>
          <w:sz w:val="28"/>
          <w:szCs w:val="28"/>
          <w:rtl/>
        </w:rPr>
        <w:t>الملغى ،</w:t>
      </w:r>
      <w:proofErr w:type="gramEnd"/>
      <w:r w:rsidRPr="00A46485">
        <w:rPr>
          <w:rFonts w:ascii="Simplified Arabic" w:hAnsi="Simplified Arabic" w:cs="Simplified Arabic"/>
          <w:sz w:val="28"/>
          <w:szCs w:val="28"/>
          <w:rtl/>
        </w:rPr>
        <w:t xml:space="preserve"> يظهر التفرقة بين نوعين من الغرف الإدارية على مستوى المجالس القضائية  حيث أصبحت هناك غرف محلية وأخرى جهوية.</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sz w:val="28"/>
          <w:szCs w:val="28"/>
          <w:rtl/>
        </w:rPr>
        <w:t>1</w:t>
      </w:r>
      <w:r w:rsidRPr="00A46485">
        <w:rPr>
          <w:rFonts w:ascii="Simplified Arabic" w:hAnsi="Simplified Arabic" w:cs="Simplified Arabic"/>
          <w:b/>
          <w:bCs/>
          <w:sz w:val="28"/>
          <w:szCs w:val="28"/>
          <w:rtl/>
        </w:rPr>
        <w:t>/ اختصاص الغرف المحلية:</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حيث تختص هذه الغرف بدعاوى البطلان (الإلغاء) والتفسير وتقدير المشروعية، الموجهة ضد قرارات البلديات والمؤسسات العمومية الإدارية المحلية، وكل دعاوى القضاء الكامل</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2/ اختصاص الغرف الجهوية:</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sz w:val="28"/>
          <w:szCs w:val="28"/>
          <w:rtl/>
        </w:rPr>
        <w:t xml:space="preserve">  حيث تختص هذه الغرف بدعاوى الإلغاء والتفسير وتقدير المشروعية الموجهة ضد </w:t>
      </w:r>
      <w:r w:rsidRPr="00A46485">
        <w:rPr>
          <w:rFonts w:ascii="Simplified Arabic" w:hAnsi="Simplified Arabic" w:cs="Simplified Arabic"/>
          <w:b/>
          <w:bCs/>
          <w:sz w:val="28"/>
          <w:szCs w:val="28"/>
          <w:rtl/>
        </w:rPr>
        <w:t>قرارات الولاة</w:t>
      </w:r>
      <w:r w:rsidRPr="00A46485">
        <w:rPr>
          <w:rFonts w:ascii="Simplified Arabic" w:hAnsi="Simplified Arabic" w:cs="Simplified Arabic"/>
          <w:sz w:val="28"/>
          <w:szCs w:val="28"/>
          <w:rtl/>
        </w:rPr>
        <w:t>.</w:t>
      </w:r>
      <w:r w:rsidRPr="00A46485">
        <w:rPr>
          <w:rFonts w:ascii="Simplified Arabic" w:hAnsi="Simplified Arabic" w:cs="Simplified Arabic"/>
          <w:sz w:val="28"/>
          <w:szCs w:val="28"/>
        </w:rPr>
        <w:t xml:space="preserve"> </w:t>
      </w:r>
      <w:r w:rsidRPr="00A46485">
        <w:rPr>
          <w:rFonts w:ascii="Simplified Arabic" w:hAnsi="Simplified Arabic" w:cs="Simplified Arabic"/>
          <w:sz w:val="28"/>
          <w:szCs w:val="28"/>
          <w:rtl/>
        </w:rPr>
        <w:t xml:space="preserve">وقد حددت المادة 07 من قانون الإجراءات المدنية خمس مجالس قضائية على سبيل الحصر هي: </w:t>
      </w:r>
      <w:proofErr w:type="gramStart"/>
      <w:r w:rsidRPr="00A46485">
        <w:rPr>
          <w:rFonts w:ascii="Simplified Arabic" w:hAnsi="Simplified Arabic" w:cs="Simplified Arabic"/>
          <w:b/>
          <w:bCs/>
          <w:sz w:val="28"/>
          <w:szCs w:val="28"/>
          <w:rtl/>
        </w:rPr>
        <w:t>الجزائر  وهران</w:t>
      </w:r>
      <w:proofErr w:type="gramEnd"/>
      <w:r w:rsidRPr="00A46485">
        <w:rPr>
          <w:rFonts w:ascii="Simplified Arabic" w:hAnsi="Simplified Arabic" w:cs="Simplified Arabic"/>
          <w:b/>
          <w:bCs/>
          <w:sz w:val="28"/>
          <w:szCs w:val="28"/>
          <w:rtl/>
        </w:rPr>
        <w:t>، بشار، ورقلة، قسنطينة</w:t>
      </w:r>
      <w:r w:rsidRPr="00A46485">
        <w:rPr>
          <w:rFonts w:ascii="Simplified Arabic" w:hAnsi="Simplified Arabic" w:cs="Simplified Arabic"/>
          <w:b/>
          <w:bCs/>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هذه الغرف الجهوية تمارس دورها كغرفة جهوية، بالإضافة إلى كونها غرفة محلية بالنسبة للإدارة المحلية في الولاية الموجودة فيها</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ثانيا: نطاق اختصاص الغرفة الإدارية بالمحكمة العليا</w:t>
      </w:r>
      <w:r w:rsidRPr="00A46485">
        <w:rPr>
          <w:rStyle w:val="Appelnotedebasdep"/>
          <w:rFonts w:ascii="Simplified Arabic" w:hAnsi="Simplified Arabic" w:cs="Simplified Arabic"/>
          <w:b/>
          <w:bCs/>
          <w:sz w:val="28"/>
          <w:szCs w:val="28"/>
          <w:rtl/>
        </w:rPr>
        <w:footnoteReference w:id="45"/>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b/>
          <w:bCs/>
          <w:sz w:val="28"/>
          <w:szCs w:val="28"/>
          <w:rtl/>
        </w:rPr>
        <w:t>أ/ اختصاصها كأول وآخر درجة:</w:t>
      </w:r>
      <w:r w:rsidRPr="00A46485">
        <w:rPr>
          <w:rFonts w:ascii="Simplified Arabic" w:hAnsi="Simplified Arabic" w:cs="Simplified Arabic"/>
          <w:sz w:val="28"/>
          <w:szCs w:val="28"/>
          <w:rtl/>
        </w:rPr>
        <w:t xml:space="preserve"> حيث تنظر في الطعون بالبطلان الموجهة ضد القرارات التنظيمية والفردية الصادرة عن السلطات المركزية، والطعون الخاصة بتفسيرها وتقدير مدى مشروعيتها</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ب/ </w:t>
      </w:r>
      <w:r w:rsidRPr="00A46485">
        <w:rPr>
          <w:rFonts w:ascii="Simplified Arabic" w:hAnsi="Simplified Arabic" w:cs="Simplified Arabic"/>
          <w:b/>
          <w:bCs/>
          <w:sz w:val="28"/>
          <w:szCs w:val="28"/>
          <w:rtl/>
        </w:rPr>
        <w:t>اختصاصها كجهة استئناف:</w:t>
      </w:r>
      <w:r w:rsidRPr="00A46485">
        <w:rPr>
          <w:rFonts w:ascii="Simplified Arabic" w:hAnsi="Simplified Arabic" w:cs="Simplified Arabic"/>
          <w:sz w:val="28"/>
          <w:szCs w:val="28"/>
          <w:rtl/>
        </w:rPr>
        <w:t xml:space="preserve"> حيث تنظر في الطعون بالاستئناف الموجهة ضد القرارات الصادرة عن الغرف الإدارية المحلية والجهوية. سواء تعلق الأمر بالقرارات المتعلقة بالإلغاء والتفسير وتقدير المشروعية أو القرارات الصادرة في دعاوى القضاء الكامل.</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b/>
          <w:bCs/>
          <w:sz w:val="28"/>
          <w:szCs w:val="28"/>
          <w:rtl/>
        </w:rPr>
        <w:t>ج/ كجهة نقض:</w:t>
      </w:r>
      <w:r w:rsidRPr="00A46485">
        <w:rPr>
          <w:rFonts w:ascii="Simplified Arabic" w:hAnsi="Simplified Arabic" w:cs="Simplified Arabic"/>
          <w:sz w:val="28"/>
          <w:szCs w:val="28"/>
          <w:rtl/>
        </w:rPr>
        <w:t xml:space="preserve"> اختصاصها في هذا المجال كان رمزيا، وكان نادر لأن قرارات الغرف الإدارية كانت في الأساس ابتدائية قابلة للاستئناف، إلا إذا كان هناك نص يعطيها الاختصاص بصفة ابتدائية نهائية، وبالتالي تدخل الغرفة الإدارية بالمحكمة العليا للنظر في الطعون بالنقض، يقتضي وجود نص خاص يعطيها حق ممارسة هذا الاختصاص، كما هو الحال مثال في قرارات اللجنة الوطنية للطعن فيما يتعلق بتأديب المحامين</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b/>
          <w:bCs/>
          <w:sz w:val="28"/>
          <w:szCs w:val="28"/>
          <w:rtl/>
        </w:rPr>
      </w:pPr>
      <w:r w:rsidRPr="00A46485">
        <w:rPr>
          <w:rFonts w:ascii="Simplified Arabic" w:hAnsi="Simplified Arabic" w:cs="Simplified Arabic"/>
          <w:b/>
          <w:bCs/>
          <w:sz w:val="28"/>
          <w:szCs w:val="28"/>
          <w:rtl/>
        </w:rPr>
        <w:t xml:space="preserve">المبحث الثاني: هياكل القضاء الإداري في ظل نظام الازدواجية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تم تكريس الازدواجية القضائية في الجزائر بموجب دستور 1996، والذي نص في مادته 152 (المادة 171 بعد التعديل الدستوري لسنة </w:t>
      </w:r>
      <w:proofErr w:type="gramStart"/>
      <w:r w:rsidRPr="00A46485">
        <w:rPr>
          <w:rFonts w:ascii="Simplified Arabic" w:hAnsi="Simplified Arabic" w:cs="Simplified Arabic"/>
          <w:sz w:val="28"/>
          <w:szCs w:val="28"/>
          <w:rtl/>
        </w:rPr>
        <w:t>2016 )</w:t>
      </w:r>
      <w:proofErr w:type="gramEnd"/>
      <w:r w:rsidRPr="00A46485">
        <w:rPr>
          <w:rFonts w:ascii="Simplified Arabic" w:hAnsi="Simplified Arabic" w:cs="Simplified Arabic"/>
          <w:sz w:val="28"/>
          <w:szCs w:val="28"/>
          <w:rtl/>
        </w:rPr>
        <w:t>، على استحداث مجلس للدولة كجهة قضائية عليا تضمن توحيد الاجتهاد القضائي في المادة الإدارية و تقويم عمل الجهات القضائية الإدارية، و هذا إلى جانب المحكمة العليا بدور مماثل في المواد غير الإدارية، و هذا فضلا عن النص على استحداث محكمة التنازع كجهة قضائية تفصل في حالات تنازع الاختصاص بين الجهات القضائية العادية و الجهات القضائية الإدارية</w:t>
      </w:r>
      <w:r w:rsidRPr="00A46485">
        <w:rPr>
          <w:rFonts w:ascii="Simplified Arabic" w:hAnsi="Simplified Arabic" w:cs="Simplified Arabic"/>
          <w:sz w:val="28"/>
          <w:szCs w:val="28"/>
        </w:rPr>
        <w:t>.</w:t>
      </w:r>
      <w:r w:rsidRPr="00A46485">
        <w:rPr>
          <w:rFonts w:ascii="Simplified Arabic" w:hAnsi="Simplified Arabic" w:cs="Simplified Arabic"/>
          <w:sz w:val="28"/>
          <w:szCs w:val="28"/>
          <w:rtl/>
        </w:rPr>
        <w:t xml:space="preserve">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ورغم أن التأسيس تم بموجب دستور 1996 إلا أن مرحلة الازدواجية لم تبدأ إلا بعد صدور النصوص القانونية التي أسست للجهات القضائية الإدارية سنة </w:t>
      </w:r>
      <w:proofErr w:type="gramStart"/>
      <w:r w:rsidRPr="00A46485">
        <w:rPr>
          <w:rFonts w:ascii="Simplified Arabic" w:hAnsi="Simplified Arabic" w:cs="Simplified Arabic"/>
          <w:sz w:val="28"/>
          <w:szCs w:val="28"/>
          <w:rtl/>
        </w:rPr>
        <w:t>1998 ،</w:t>
      </w:r>
      <w:proofErr w:type="gramEnd"/>
      <w:r w:rsidRPr="00A46485">
        <w:rPr>
          <w:rFonts w:ascii="Simplified Arabic" w:hAnsi="Simplified Arabic" w:cs="Simplified Arabic"/>
          <w:sz w:val="28"/>
          <w:szCs w:val="28"/>
          <w:rtl/>
        </w:rPr>
        <w:t xml:space="preserve"> بصدور القانون العضوي لمجلس الدولة 98-01 والقانون العادي للمحاكم الإدارية 98-02 ، والقانون العضوي لمحكمة التنازع 98-03.</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ومما </w:t>
      </w:r>
      <w:proofErr w:type="gramStart"/>
      <w:r w:rsidRPr="00A46485">
        <w:rPr>
          <w:rFonts w:ascii="Simplified Arabic" w:hAnsi="Simplified Arabic" w:cs="Simplified Arabic"/>
          <w:sz w:val="28"/>
          <w:szCs w:val="28"/>
          <w:rtl/>
        </w:rPr>
        <w:t>لاشك</w:t>
      </w:r>
      <w:proofErr w:type="gramEnd"/>
      <w:r w:rsidRPr="00A46485">
        <w:rPr>
          <w:rFonts w:ascii="Simplified Arabic" w:hAnsi="Simplified Arabic" w:cs="Simplified Arabic"/>
          <w:sz w:val="28"/>
          <w:szCs w:val="28"/>
          <w:rtl/>
        </w:rPr>
        <w:t xml:space="preserve"> فيه أن وراء الأخذ بنظام الازدواجية في الجزائر أسباب عديدة منها:</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عدم منطقية النظام القضائي المتبنى في الفترة من الاستقلال حتى 1996، وهذا بسبب الصيغة المختلطة أين كان يجمع بين الوحدة وعناصر الازدواجية حتى أن البعض من الفقه أطلق عليه بنظام الوحدة والازدواجية القضائية، مما انعكس على فشل هذا النظام في تحقيق مبدأ المشروعية.  </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تزايد عدد المنازعات الإدارية وتراكمها نتيجة الدخول في مرحلة التعددية السياسية والتخلص من عقدة الخوف من الإدارة العامة.</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عدم قدرة القاضي العادي التحكم في المنازعة الإدارية نتيجة لاختلافها عن المنازعة العادية، من حيث الأطراف والموضوع والهدف، ونظرا لاختلاف القانون الواجب التطبيق.</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noBreakHyphen/>
        <w:t xml:space="preserve"> محاولة تجسيد فكرة التخصص، وهو ما يؤدي إليه من إيجابيات تنعكس على قدرة القاضي من الفصل في المنازعة بفاعلية واقتدار نتيجة المامه بالنصوص القانونية وتمكنه من متابعة الاجتهاد القضائي في نوع معين من المنازعات</w:t>
      </w:r>
      <w:r w:rsidRPr="00A46485">
        <w:rPr>
          <w:rFonts w:ascii="Simplified Arabic" w:hAnsi="Simplified Arabic" w:cs="Simplified Arabic"/>
          <w:sz w:val="28"/>
          <w:szCs w:val="28"/>
        </w:rPr>
        <w:t>.</w:t>
      </w:r>
    </w:p>
    <w:p w:rsidR="001C61F9" w:rsidRPr="00A46485" w:rsidRDefault="001C61F9" w:rsidP="001C61F9">
      <w:pPr>
        <w:bidi/>
        <w:rPr>
          <w:rFonts w:ascii="Simplified Arabic" w:hAnsi="Simplified Arabic" w:cs="Simplified Arabic"/>
          <w:sz w:val="28"/>
          <w:szCs w:val="28"/>
          <w:rtl/>
        </w:rPr>
      </w:pPr>
      <w:r w:rsidRPr="00A46485">
        <w:rPr>
          <w:rFonts w:ascii="Simplified Arabic" w:hAnsi="Simplified Arabic" w:cs="Simplified Arabic"/>
          <w:sz w:val="28"/>
          <w:szCs w:val="28"/>
          <w:rtl/>
        </w:rPr>
        <w:t xml:space="preserve">    وبعد إقرار نظام الازدواجية القضائية في الجزائر منذ التعديل الدستوري لسنة </w:t>
      </w:r>
      <w:proofErr w:type="gramStart"/>
      <w:r w:rsidRPr="00A46485">
        <w:rPr>
          <w:rFonts w:ascii="Simplified Arabic" w:hAnsi="Simplified Arabic" w:cs="Simplified Arabic"/>
          <w:sz w:val="28"/>
          <w:szCs w:val="28"/>
          <w:rtl/>
        </w:rPr>
        <w:t>1996 ،</w:t>
      </w:r>
      <w:proofErr w:type="gramEnd"/>
      <w:r w:rsidRPr="00A46485">
        <w:rPr>
          <w:rFonts w:ascii="Simplified Arabic" w:hAnsi="Simplified Arabic" w:cs="Simplified Arabic"/>
          <w:sz w:val="28"/>
          <w:szCs w:val="28"/>
          <w:rtl/>
        </w:rPr>
        <w:t xml:space="preserve"> فان هرمية التنظيم القضائي الإداري في الجزائر، تتشكل من المحاكم الإدارية على مستوى القاعدة، و مجلس الدولة على مستوى الهرم القضائي  ، وتفاديا لأي إشكال في مجال تنازع الاختصاص بين القضاء العادي والقضاء الاداري تم إنشاء محكمة التنازع بموجب المادة 152 فقرة 4 منه .</w:t>
      </w:r>
    </w:p>
    <w:p w:rsidR="00833BBF" w:rsidRDefault="00834DFB"/>
    <w:sectPr w:rsidR="00833B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FB" w:rsidRDefault="00834DFB" w:rsidP="001C61F9">
      <w:pPr>
        <w:spacing w:after="0" w:line="240" w:lineRule="auto"/>
      </w:pPr>
      <w:r>
        <w:separator/>
      </w:r>
    </w:p>
  </w:endnote>
  <w:endnote w:type="continuationSeparator" w:id="0">
    <w:p w:rsidR="00834DFB" w:rsidRDefault="00834DFB" w:rsidP="001C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FB" w:rsidRDefault="00834DFB" w:rsidP="001C61F9">
      <w:pPr>
        <w:spacing w:after="0" w:line="240" w:lineRule="auto"/>
      </w:pPr>
      <w:r>
        <w:separator/>
      </w:r>
    </w:p>
  </w:footnote>
  <w:footnote w:type="continuationSeparator" w:id="0">
    <w:p w:rsidR="00834DFB" w:rsidRDefault="00834DFB" w:rsidP="001C61F9">
      <w:pPr>
        <w:spacing w:after="0" w:line="240" w:lineRule="auto"/>
      </w:pPr>
      <w:r>
        <w:continuationSeparator/>
      </w:r>
    </w:p>
  </w:footnote>
  <w:footnote w:id="1">
    <w:p w:rsidR="001C61F9" w:rsidRPr="009648EC" w:rsidRDefault="001C61F9" w:rsidP="001C61F9">
      <w:pPr>
        <w:pStyle w:val="Notedebasdepage"/>
        <w:jc w:val="right"/>
        <w:rPr>
          <w:rtl/>
        </w:rPr>
      </w:pPr>
      <w:r>
        <w:rPr>
          <w:rFonts w:hint="cs"/>
          <w:rtl/>
        </w:rPr>
        <w:t xml:space="preserve"> </w:t>
      </w:r>
      <w:r w:rsidRPr="00781243">
        <w:rPr>
          <w:rFonts w:ascii="Simplified Arabic" w:hAnsi="Simplified Arabic" w:cs="Simplified Arabic"/>
          <w:sz w:val="22"/>
          <w:szCs w:val="22"/>
          <w:rtl/>
        </w:rPr>
        <w:t xml:space="preserve">محمد الصغير </w:t>
      </w:r>
      <w:proofErr w:type="gramStart"/>
      <w:r w:rsidRPr="00781243">
        <w:rPr>
          <w:rFonts w:ascii="Simplified Arabic" w:hAnsi="Simplified Arabic" w:cs="Simplified Arabic"/>
          <w:sz w:val="22"/>
          <w:szCs w:val="22"/>
          <w:rtl/>
        </w:rPr>
        <w:t>بعلي ،</w:t>
      </w:r>
      <w:proofErr w:type="gramEnd"/>
      <w:r w:rsidRPr="00781243">
        <w:rPr>
          <w:rFonts w:ascii="Simplified Arabic" w:hAnsi="Simplified Arabic" w:cs="Simplified Arabic"/>
          <w:sz w:val="22"/>
          <w:szCs w:val="22"/>
          <w:rtl/>
        </w:rPr>
        <w:t xml:space="preserve"> الوسيط في المنازعات الإدارية ، دار النشر للعلوم والتوزيع، عنابة  ، 2009، ص08.</w:t>
      </w:r>
      <w:r>
        <w:rPr>
          <w:rStyle w:val="Appelnotedebasdep"/>
        </w:rPr>
        <w:footnoteRef/>
      </w:r>
      <w:r>
        <w:t xml:space="preserve"> </w:t>
      </w:r>
    </w:p>
  </w:footnote>
  <w:footnote w:id="2">
    <w:p w:rsidR="001C61F9" w:rsidRPr="00A523F1" w:rsidRDefault="001C61F9" w:rsidP="001C61F9">
      <w:pPr>
        <w:pStyle w:val="Notedebasdepage"/>
        <w:jc w:val="right"/>
        <w:rPr>
          <w:rtl/>
        </w:rPr>
      </w:pPr>
      <w:r>
        <w:rPr>
          <w:rFonts w:hint="cs"/>
          <w:rtl/>
        </w:rPr>
        <w:t xml:space="preserve">4 </w:t>
      </w:r>
      <w:r w:rsidRPr="00A523F1">
        <w:rPr>
          <w:rFonts w:ascii="Simplified Arabic" w:hAnsi="Simplified Arabic" w:cs="Simplified Arabic" w:hint="cs"/>
          <w:sz w:val="22"/>
          <w:szCs w:val="22"/>
          <w:rtl/>
        </w:rPr>
        <w:t>محمد</w:t>
      </w:r>
      <w:r w:rsidRPr="00A523F1">
        <w:rPr>
          <w:rFonts w:ascii="Simplified Arabic" w:hAnsi="Simplified Arabic" w:cs="Simplified Arabic"/>
          <w:sz w:val="22"/>
          <w:szCs w:val="22"/>
          <w:rtl/>
        </w:rPr>
        <w:t xml:space="preserve"> رفعت عبد الوهاب، القضاء </w:t>
      </w:r>
      <w:r w:rsidRPr="00A523F1">
        <w:rPr>
          <w:rFonts w:ascii="Simplified Arabic" w:hAnsi="Simplified Arabic" w:cs="Simplified Arabic" w:hint="cs"/>
          <w:sz w:val="22"/>
          <w:szCs w:val="22"/>
          <w:rtl/>
        </w:rPr>
        <w:t>الإداري</w:t>
      </w:r>
      <w:r w:rsidRPr="00A523F1">
        <w:rPr>
          <w:rFonts w:ascii="Simplified Arabic" w:hAnsi="Simplified Arabic" w:cs="Simplified Arabic"/>
          <w:sz w:val="22"/>
          <w:szCs w:val="22"/>
          <w:rtl/>
        </w:rPr>
        <w:t xml:space="preserve">، الكتاب </w:t>
      </w:r>
      <w:r w:rsidRPr="00A523F1">
        <w:rPr>
          <w:rFonts w:ascii="Simplified Arabic" w:hAnsi="Simplified Arabic" w:cs="Simplified Arabic" w:hint="cs"/>
          <w:sz w:val="22"/>
          <w:szCs w:val="22"/>
          <w:rtl/>
        </w:rPr>
        <w:t>الأول</w:t>
      </w:r>
      <w:r w:rsidRPr="00A523F1">
        <w:rPr>
          <w:rFonts w:ascii="Simplified Arabic" w:hAnsi="Simplified Arabic" w:cs="Simplified Arabic"/>
          <w:sz w:val="22"/>
          <w:szCs w:val="22"/>
          <w:rtl/>
        </w:rPr>
        <w:t xml:space="preserve">، مبدأ </w:t>
      </w:r>
      <w:r w:rsidRPr="00A523F1">
        <w:rPr>
          <w:rFonts w:ascii="Simplified Arabic" w:hAnsi="Simplified Arabic" w:cs="Simplified Arabic" w:hint="cs"/>
          <w:sz w:val="22"/>
          <w:szCs w:val="22"/>
          <w:rtl/>
        </w:rPr>
        <w:t>المشروعية</w:t>
      </w:r>
      <w:r w:rsidRPr="00A523F1">
        <w:rPr>
          <w:rFonts w:ascii="Simplified Arabic" w:hAnsi="Simplified Arabic" w:cs="Simplified Arabic"/>
          <w:sz w:val="22"/>
          <w:szCs w:val="22"/>
          <w:rtl/>
        </w:rPr>
        <w:t xml:space="preserve"> و تنظيم القضاء </w:t>
      </w:r>
      <w:r w:rsidRPr="00A523F1">
        <w:rPr>
          <w:rFonts w:ascii="Simplified Arabic" w:hAnsi="Simplified Arabic" w:cs="Simplified Arabic" w:hint="cs"/>
          <w:sz w:val="22"/>
          <w:szCs w:val="22"/>
          <w:rtl/>
        </w:rPr>
        <w:t>الإداري</w:t>
      </w:r>
      <w:r w:rsidRPr="00A523F1">
        <w:rPr>
          <w:rFonts w:ascii="Simplified Arabic" w:hAnsi="Simplified Arabic" w:cs="Simplified Arabic"/>
          <w:sz w:val="22"/>
          <w:szCs w:val="22"/>
          <w:rtl/>
        </w:rPr>
        <w:t xml:space="preserve"> منشورات </w:t>
      </w:r>
      <w:r>
        <w:rPr>
          <w:rFonts w:ascii="Simplified Arabic" w:hAnsi="Simplified Arabic" w:cs="Simplified Arabic" w:hint="cs"/>
          <w:sz w:val="22"/>
          <w:szCs w:val="22"/>
          <w:rtl/>
        </w:rPr>
        <w:t>الحلبي</w:t>
      </w:r>
      <w:r w:rsidRPr="00A523F1">
        <w:rPr>
          <w:rFonts w:ascii="Simplified Arabic" w:hAnsi="Simplified Arabic" w:cs="Simplified Arabic"/>
          <w:sz w:val="22"/>
          <w:szCs w:val="22"/>
          <w:rtl/>
        </w:rPr>
        <w:t xml:space="preserve"> –</w:t>
      </w:r>
      <w:proofErr w:type="gramStart"/>
      <w:r w:rsidRPr="00A523F1">
        <w:rPr>
          <w:rFonts w:ascii="Simplified Arabic" w:hAnsi="Simplified Arabic" w:cs="Simplified Arabic" w:hint="cs"/>
          <w:sz w:val="22"/>
          <w:szCs w:val="22"/>
          <w:rtl/>
        </w:rPr>
        <w:t>الحقوقية</w:t>
      </w:r>
      <w:r w:rsidRPr="00A523F1">
        <w:rPr>
          <w:rFonts w:ascii="Simplified Arabic" w:hAnsi="Simplified Arabic" w:cs="Simplified Arabic"/>
          <w:sz w:val="22"/>
          <w:szCs w:val="22"/>
          <w:rtl/>
        </w:rPr>
        <w:t xml:space="preserve">- </w:t>
      </w:r>
      <w:r w:rsidRPr="00A523F1">
        <w:rPr>
          <w:rFonts w:ascii="Simplified Arabic" w:hAnsi="Simplified Arabic" w:cs="Simplified Arabic" w:hint="cs"/>
          <w:sz w:val="22"/>
          <w:szCs w:val="22"/>
          <w:rtl/>
        </w:rPr>
        <w:t>بيروت</w:t>
      </w:r>
      <w:proofErr w:type="gramEnd"/>
      <w:r w:rsidRPr="00A523F1">
        <w:rPr>
          <w:rFonts w:ascii="Simplified Arabic" w:hAnsi="Simplified Arabic" w:cs="Simplified Arabic"/>
          <w:sz w:val="22"/>
          <w:szCs w:val="22"/>
          <w:rtl/>
        </w:rPr>
        <w:t>، ص</w:t>
      </w:r>
      <w:r>
        <w:rPr>
          <w:rFonts w:ascii="Simplified Arabic" w:hAnsi="Simplified Arabic" w:cs="Simplified Arabic" w:hint="cs"/>
          <w:sz w:val="22"/>
          <w:szCs w:val="22"/>
          <w:rtl/>
        </w:rPr>
        <w:t xml:space="preserve">197. </w:t>
      </w:r>
      <w:r>
        <w:rPr>
          <w:rStyle w:val="Appelnotedebasdep"/>
        </w:rPr>
        <w:t xml:space="preserve"> </w:t>
      </w:r>
      <w:r>
        <w:rPr>
          <w:rStyle w:val="Appelnotedebasdep"/>
          <w:rFonts w:hint="cs"/>
          <w:rtl/>
        </w:rPr>
        <w:t xml:space="preserve"> </w:t>
      </w:r>
      <w:r>
        <w:t xml:space="preserve"> </w:t>
      </w:r>
    </w:p>
  </w:footnote>
  <w:footnote w:id="3">
    <w:p w:rsidR="001C61F9" w:rsidRPr="0085337B" w:rsidRDefault="001C61F9" w:rsidP="001C61F9">
      <w:pPr>
        <w:pStyle w:val="Notedebasdepage"/>
        <w:jc w:val="right"/>
        <w:rPr>
          <w:rtl/>
        </w:rPr>
      </w:pPr>
      <w:r w:rsidRPr="0085337B">
        <w:rPr>
          <w:rFonts w:hint="cs"/>
          <w:vertAlign w:val="superscript"/>
          <w:rtl/>
        </w:rPr>
        <w:t>5</w:t>
      </w:r>
      <w:r>
        <w:rPr>
          <w:rFonts w:hint="cs"/>
          <w:rtl/>
        </w:rPr>
        <w:t xml:space="preserve"> </w:t>
      </w:r>
      <w:proofErr w:type="spellStart"/>
      <w:r w:rsidRPr="0085337B">
        <w:rPr>
          <w:rFonts w:ascii="Simplified Arabic" w:hAnsi="Simplified Arabic" w:cs="Simplified Arabic"/>
          <w:sz w:val="22"/>
          <w:szCs w:val="22"/>
          <w:rtl/>
        </w:rPr>
        <w:t>قريمس</w:t>
      </w:r>
      <w:proofErr w:type="spellEnd"/>
      <w:r w:rsidRPr="0085337B">
        <w:rPr>
          <w:rFonts w:ascii="Simplified Arabic" w:hAnsi="Simplified Arabic" w:cs="Simplified Arabic"/>
          <w:sz w:val="22"/>
          <w:szCs w:val="22"/>
          <w:rtl/>
        </w:rPr>
        <w:t xml:space="preserve"> </w:t>
      </w:r>
      <w:proofErr w:type="gramStart"/>
      <w:r w:rsidRPr="0085337B">
        <w:rPr>
          <w:rFonts w:ascii="Simplified Arabic" w:hAnsi="Simplified Arabic" w:cs="Simplified Arabic"/>
          <w:sz w:val="22"/>
          <w:szCs w:val="22"/>
          <w:rtl/>
        </w:rPr>
        <w:t>اسماعيل ،</w:t>
      </w:r>
      <w:proofErr w:type="gramEnd"/>
      <w:r w:rsidRPr="0085337B">
        <w:rPr>
          <w:rFonts w:ascii="Simplified Arabic" w:hAnsi="Simplified Arabic" w:cs="Simplified Arabic"/>
          <w:sz w:val="22"/>
          <w:szCs w:val="22"/>
          <w:rtl/>
        </w:rPr>
        <w:t xml:space="preserve"> محل دعوى الإلغاء،</w:t>
      </w:r>
      <w:r>
        <w:rPr>
          <w:rFonts w:ascii="Simplified Arabic" w:hAnsi="Simplified Arabic" w:cs="Simplified Arabic" w:hint="cs"/>
          <w:sz w:val="22"/>
          <w:szCs w:val="22"/>
          <w:rtl/>
        </w:rPr>
        <w:t xml:space="preserve"> </w:t>
      </w:r>
      <w:r w:rsidRPr="0085337B">
        <w:rPr>
          <w:rFonts w:ascii="Simplified Arabic" w:hAnsi="Simplified Arabic" w:cs="Simplified Arabic"/>
          <w:sz w:val="22"/>
          <w:szCs w:val="22"/>
          <w:rtl/>
        </w:rPr>
        <w:t>دراسة في التشريع والقضاء الجزائريين،</w:t>
      </w:r>
      <w:r>
        <w:rPr>
          <w:rFonts w:ascii="Simplified Arabic" w:hAnsi="Simplified Arabic" w:cs="Simplified Arabic" w:hint="cs"/>
          <w:sz w:val="22"/>
          <w:szCs w:val="22"/>
          <w:rtl/>
        </w:rPr>
        <w:t xml:space="preserve"> </w:t>
      </w:r>
      <w:r w:rsidRPr="0085337B">
        <w:rPr>
          <w:rFonts w:ascii="Simplified Arabic" w:hAnsi="Simplified Arabic" w:cs="Simplified Arabic"/>
          <w:sz w:val="22"/>
          <w:szCs w:val="22"/>
          <w:rtl/>
        </w:rPr>
        <w:t xml:space="preserve">مذكرة لنيل شهادة الماجستير في القانون ،كلية الحقوق والعلوم السياسية ،جامعة الحاج لخضر ،باتنة ،ص95 </w:t>
      </w:r>
      <w:r>
        <w:rPr>
          <w:rFonts w:ascii="Simplified Arabic" w:hAnsi="Simplified Arabic" w:cs="Simplified Arabic" w:hint="cs"/>
          <w:sz w:val="22"/>
          <w:szCs w:val="22"/>
          <w:rtl/>
        </w:rPr>
        <w:t>و96.</w:t>
      </w:r>
      <w:r>
        <w:rPr>
          <w:rStyle w:val="Appelnotedebasdep"/>
        </w:rPr>
        <w:t xml:space="preserve"> </w:t>
      </w:r>
    </w:p>
  </w:footnote>
  <w:footnote w:id="4">
    <w:p w:rsidR="001C61F9" w:rsidRPr="0085337B" w:rsidRDefault="001C61F9" w:rsidP="001C61F9">
      <w:pPr>
        <w:pStyle w:val="Notedebasdepage"/>
        <w:jc w:val="right"/>
        <w:rPr>
          <w:rtl/>
        </w:rPr>
      </w:pPr>
      <w:r w:rsidRPr="0085337B">
        <w:rPr>
          <w:rFonts w:hint="cs"/>
          <w:vertAlign w:val="superscript"/>
          <w:rtl/>
        </w:rPr>
        <w:t>6</w:t>
      </w:r>
      <w:r>
        <w:rPr>
          <w:rFonts w:hint="cs"/>
          <w:rtl/>
        </w:rPr>
        <w:t xml:space="preserve"> </w:t>
      </w:r>
      <w:r w:rsidRPr="0085337B">
        <w:rPr>
          <w:rFonts w:ascii="Simplified Arabic" w:hAnsi="Simplified Arabic" w:cs="Simplified Arabic"/>
          <w:sz w:val="22"/>
          <w:szCs w:val="22"/>
          <w:rtl/>
        </w:rPr>
        <w:t xml:space="preserve">خلف فاروق «، رقابة القاضي الإداري على مبدأ التناسب ما بين العقوبة التأديبية و الخطأ المهني الصادر عن الموظف </w:t>
      </w:r>
      <w:proofErr w:type="gramStart"/>
      <w:r w:rsidRPr="0085337B">
        <w:rPr>
          <w:rFonts w:ascii="Simplified Arabic" w:hAnsi="Simplified Arabic" w:cs="Simplified Arabic"/>
          <w:sz w:val="22"/>
          <w:szCs w:val="22"/>
          <w:rtl/>
        </w:rPr>
        <w:t>العام  »</w:t>
      </w:r>
      <w:proofErr w:type="gramEnd"/>
      <w:r w:rsidRPr="0085337B">
        <w:rPr>
          <w:rFonts w:ascii="Simplified Arabic" w:hAnsi="Simplified Arabic" w:cs="Simplified Arabic"/>
          <w:sz w:val="22"/>
          <w:szCs w:val="22"/>
          <w:rtl/>
        </w:rPr>
        <w:t xml:space="preserve"> المجلة الجزائرية للعلوم القانونية الاقتصادية و السياسية ،عدد 2،الجزائر ،2011،ص ص95</w:t>
      </w:r>
      <w:r>
        <w:rPr>
          <w:rtl/>
        </w:rPr>
        <w:t xml:space="preserve"> </w:t>
      </w:r>
      <w:r>
        <w:rPr>
          <w:rStyle w:val="Appelnotedebasdep"/>
          <w:rFonts w:hint="cs"/>
          <w:rtl/>
        </w:rPr>
        <w:t xml:space="preserve"> </w:t>
      </w:r>
    </w:p>
  </w:footnote>
  <w:footnote w:id="5">
    <w:p w:rsidR="001C61F9" w:rsidRPr="0083572F" w:rsidRDefault="001C61F9" w:rsidP="001C61F9">
      <w:pPr>
        <w:pStyle w:val="Notedebasdepage"/>
        <w:jc w:val="right"/>
        <w:rPr>
          <w:rtl/>
        </w:rPr>
      </w:pPr>
      <w:r w:rsidRPr="00781243">
        <w:rPr>
          <w:rFonts w:ascii="Simplified Arabic" w:hAnsi="Simplified Arabic" w:cs="Simplified Arabic"/>
          <w:sz w:val="22"/>
          <w:szCs w:val="22"/>
          <w:rtl/>
        </w:rPr>
        <w:t xml:space="preserve">محمد الصغير </w:t>
      </w:r>
      <w:proofErr w:type="gramStart"/>
      <w:r w:rsidRPr="00781243">
        <w:rPr>
          <w:rFonts w:ascii="Simplified Arabic" w:hAnsi="Simplified Arabic" w:cs="Simplified Arabic"/>
          <w:sz w:val="22"/>
          <w:szCs w:val="22"/>
          <w:rtl/>
        </w:rPr>
        <w:t>بعلي ،</w:t>
      </w:r>
      <w:proofErr w:type="gramEnd"/>
      <w:r w:rsidRPr="00781243">
        <w:rPr>
          <w:rFonts w:ascii="Simplified Arabic" w:hAnsi="Simplified Arabic" w:cs="Simplified Arabic"/>
          <w:sz w:val="22"/>
          <w:szCs w:val="22"/>
          <w:rtl/>
        </w:rPr>
        <w:t xml:space="preserve"> الوسيط في المنازعات الإدارية</w:t>
      </w:r>
      <w:r>
        <w:rPr>
          <w:rFonts w:ascii="Simplified Arabic" w:hAnsi="Simplified Arabic" w:cs="Simplified Arabic" w:hint="cs"/>
          <w:sz w:val="22"/>
          <w:szCs w:val="22"/>
          <w:rtl/>
        </w:rPr>
        <w:t>، المرجع السابق، ص 20 وما بعدها.</w:t>
      </w:r>
      <w:r>
        <w:rPr>
          <w:rStyle w:val="Appelnotedebasdep"/>
        </w:rPr>
        <w:t xml:space="preserve"> </w:t>
      </w:r>
      <w:r>
        <w:rPr>
          <w:rStyle w:val="Appelnotedebasdep"/>
        </w:rPr>
        <w:footnoteRef/>
      </w:r>
      <w:r>
        <w:t xml:space="preserve"> </w:t>
      </w:r>
    </w:p>
  </w:footnote>
  <w:footnote w:id="6">
    <w:p w:rsidR="001C61F9" w:rsidRPr="0083572F" w:rsidRDefault="001C61F9" w:rsidP="001C61F9">
      <w:pPr>
        <w:pStyle w:val="Notedebasdepage"/>
        <w:jc w:val="right"/>
        <w:rPr>
          <w:rtl/>
        </w:rPr>
      </w:pPr>
      <w:r w:rsidRPr="0083572F">
        <w:rPr>
          <w:rFonts w:hint="cs"/>
          <w:vertAlign w:val="superscript"/>
          <w:rtl/>
        </w:rPr>
        <w:t>8</w:t>
      </w:r>
      <w:r>
        <w:rPr>
          <w:rFonts w:hint="cs"/>
          <w:rtl/>
        </w:rPr>
        <w:t xml:space="preserve"> </w:t>
      </w:r>
      <w:r w:rsidRPr="0083572F">
        <w:rPr>
          <w:rFonts w:ascii="Simplified Arabic" w:hAnsi="Simplified Arabic" w:cs="Simplified Arabic"/>
          <w:sz w:val="22"/>
          <w:szCs w:val="22"/>
          <w:rtl/>
        </w:rPr>
        <w:t xml:space="preserve">تميمي نجاة، حالة الظروف الاستثنائية وتطبيقاتها في الدستور </w:t>
      </w:r>
      <w:proofErr w:type="gramStart"/>
      <w:r w:rsidRPr="0083572F">
        <w:rPr>
          <w:rFonts w:ascii="Simplified Arabic" w:hAnsi="Simplified Arabic" w:cs="Simplified Arabic"/>
          <w:sz w:val="22"/>
          <w:szCs w:val="22"/>
          <w:rtl/>
        </w:rPr>
        <w:t>الجزائري ،</w:t>
      </w:r>
      <w:proofErr w:type="gramEnd"/>
      <w:r w:rsidRPr="0083572F">
        <w:rPr>
          <w:rFonts w:ascii="Simplified Arabic" w:hAnsi="Simplified Arabic" w:cs="Simplified Arabic"/>
          <w:sz w:val="22"/>
          <w:szCs w:val="22"/>
          <w:rtl/>
        </w:rPr>
        <w:t xml:space="preserve"> مذكرة لنيل شهادة الماجستير في القانون فرع الادارة والمالية ، كلية الحقوق و العلوم السياسية ،جامعة الجزائر ، 2003، ص </w:t>
      </w:r>
      <w:r>
        <w:rPr>
          <w:rtl/>
        </w:rPr>
        <w:t>13</w:t>
      </w:r>
      <w:r>
        <w:rPr>
          <w:rStyle w:val="Appelnotedebasdep"/>
        </w:rPr>
        <w:t xml:space="preserve"> </w:t>
      </w:r>
      <w:r>
        <w:rPr>
          <w:rStyle w:val="Appelnotedebasdep"/>
          <w:rFonts w:hint="cs"/>
          <w:rtl/>
        </w:rPr>
        <w:t xml:space="preserve"> </w:t>
      </w:r>
      <w:r>
        <w:t xml:space="preserve"> </w:t>
      </w:r>
    </w:p>
  </w:footnote>
  <w:footnote w:id="7">
    <w:p w:rsidR="001C61F9" w:rsidRDefault="001C61F9" w:rsidP="001C61F9">
      <w:pPr>
        <w:pStyle w:val="Notedebasdepage"/>
        <w:rPr>
          <w:rtl/>
          <w:lang w:bidi="ar-DZ"/>
        </w:rPr>
      </w:pPr>
      <w:r w:rsidRPr="00C30498">
        <w:rPr>
          <w:rStyle w:val="Appelnotedebasdep"/>
          <w:rFonts w:asciiTheme="majorBidi" w:hAnsiTheme="majorBidi" w:cstheme="majorBidi"/>
        </w:rPr>
        <w:footnoteRef/>
      </w:r>
      <w:r w:rsidRPr="00C30498">
        <w:rPr>
          <w:rFonts w:asciiTheme="majorBidi" w:hAnsiTheme="majorBidi" w:cstheme="majorBidi"/>
        </w:rPr>
        <w:t xml:space="preserve"> - </w:t>
      </w:r>
      <w:r w:rsidRPr="00C30498">
        <w:rPr>
          <w:rFonts w:asciiTheme="majorBidi" w:hAnsiTheme="majorBidi" w:cstheme="majorBidi"/>
          <w:lang w:bidi="ar-DZ"/>
        </w:rPr>
        <w:t xml:space="preserve">André de </w:t>
      </w:r>
      <w:proofErr w:type="spellStart"/>
      <w:r w:rsidRPr="00C30498">
        <w:rPr>
          <w:rFonts w:asciiTheme="majorBidi" w:hAnsiTheme="majorBidi" w:cstheme="majorBidi"/>
          <w:lang w:bidi="ar-DZ"/>
        </w:rPr>
        <w:t>lanbadere</w:t>
      </w:r>
      <w:proofErr w:type="spellEnd"/>
      <w:r w:rsidRPr="00C30498">
        <w:rPr>
          <w:rFonts w:asciiTheme="majorBidi" w:hAnsiTheme="majorBidi" w:cstheme="majorBidi"/>
          <w:lang w:bidi="ar-DZ"/>
        </w:rPr>
        <w:t xml:space="preserve">, le contrôle juridictionnel du pouvoir discrétionnaire dans la jurisprudence récente du conseil d’état, Mélanges </w:t>
      </w:r>
      <w:proofErr w:type="spellStart"/>
      <w:r w:rsidRPr="00C30498">
        <w:rPr>
          <w:rFonts w:asciiTheme="majorBidi" w:hAnsiTheme="majorBidi" w:cstheme="majorBidi"/>
          <w:lang w:bidi="ar-DZ"/>
        </w:rPr>
        <w:t>waline</w:t>
      </w:r>
      <w:proofErr w:type="spellEnd"/>
      <w:r w:rsidRPr="00C30498">
        <w:rPr>
          <w:rFonts w:asciiTheme="majorBidi" w:hAnsiTheme="majorBidi" w:cstheme="majorBidi"/>
          <w:lang w:bidi="ar-DZ"/>
        </w:rPr>
        <w:t xml:space="preserve"> I.II. Paris.1974.P531</w:t>
      </w:r>
      <w:r w:rsidRPr="00CD6D02">
        <w:rPr>
          <w:rFonts w:asciiTheme="majorBidi" w:hAnsiTheme="majorBidi" w:cstheme="majorBidi"/>
          <w:color w:val="C00000"/>
          <w:lang w:bidi="ar-DZ"/>
        </w:rPr>
        <w:t>.</w:t>
      </w:r>
      <w:r>
        <w:rPr>
          <w:rFonts w:asciiTheme="majorBidi" w:hAnsiTheme="majorBidi" w:cstheme="majorBidi" w:hint="cs"/>
          <w:color w:val="C00000"/>
          <w:rtl/>
          <w:lang w:bidi="ar-DZ"/>
        </w:rPr>
        <w:t xml:space="preserve"> </w:t>
      </w:r>
    </w:p>
  </w:footnote>
  <w:footnote w:id="8">
    <w:p w:rsidR="001C61F9" w:rsidRPr="00303CA0" w:rsidRDefault="001C61F9" w:rsidP="001C61F9">
      <w:pPr>
        <w:pStyle w:val="Notedebasdepage"/>
        <w:bidi/>
        <w:rPr>
          <w:rtl/>
        </w:rPr>
      </w:pPr>
      <w:r>
        <w:rPr>
          <w:rStyle w:val="Appelnotedebasdep"/>
        </w:rPr>
        <w:footnoteRef/>
      </w:r>
      <w:r>
        <w:t xml:space="preserve"> </w:t>
      </w:r>
      <w:r>
        <w:rPr>
          <w:rFonts w:hint="cs"/>
          <w:rtl/>
        </w:rPr>
        <w:t xml:space="preserve"> </w:t>
      </w:r>
      <w:r w:rsidRPr="00303CA0">
        <w:rPr>
          <w:rFonts w:ascii="Simplified Arabic" w:hAnsi="Simplified Arabic" w:cs="Simplified Arabic"/>
          <w:sz w:val="22"/>
          <w:szCs w:val="22"/>
          <w:rtl/>
        </w:rPr>
        <w:t xml:space="preserve">محمد رفعت عبد </w:t>
      </w:r>
      <w:proofErr w:type="gramStart"/>
      <w:r w:rsidRPr="00303CA0">
        <w:rPr>
          <w:rFonts w:ascii="Simplified Arabic" w:hAnsi="Simplified Arabic" w:cs="Simplified Arabic"/>
          <w:sz w:val="22"/>
          <w:szCs w:val="22"/>
          <w:rtl/>
        </w:rPr>
        <w:t>الوهاب ،</w:t>
      </w:r>
      <w:proofErr w:type="gramEnd"/>
      <w:r w:rsidRPr="00303CA0">
        <w:rPr>
          <w:rFonts w:ascii="Simplified Arabic" w:hAnsi="Simplified Arabic" w:cs="Simplified Arabic"/>
          <w:sz w:val="22"/>
          <w:szCs w:val="22"/>
          <w:rtl/>
        </w:rPr>
        <w:t xml:space="preserve"> المرجع السابق، ص 224</w:t>
      </w:r>
      <w:r>
        <w:rPr>
          <w:rFonts w:hint="cs"/>
          <w:rtl/>
        </w:rPr>
        <w:t>.</w:t>
      </w:r>
    </w:p>
  </w:footnote>
  <w:footnote w:id="9">
    <w:p w:rsidR="001C61F9" w:rsidRPr="00C00D19" w:rsidRDefault="001C61F9" w:rsidP="001C61F9">
      <w:pPr>
        <w:pStyle w:val="Notedebasdepage"/>
        <w:jc w:val="right"/>
        <w:rPr>
          <w:rtl/>
        </w:rPr>
      </w:pPr>
      <w:r>
        <w:rPr>
          <w:rFonts w:hint="cs"/>
          <w:rtl/>
        </w:rPr>
        <w:t xml:space="preserve"> محمد الصغير </w:t>
      </w:r>
      <w:proofErr w:type="gramStart"/>
      <w:r>
        <w:rPr>
          <w:rFonts w:hint="cs"/>
          <w:rtl/>
        </w:rPr>
        <w:t>بعلي ،</w:t>
      </w:r>
      <w:proofErr w:type="gramEnd"/>
      <w:r>
        <w:rPr>
          <w:rFonts w:hint="cs"/>
          <w:rtl/>
        </w:rPr>
        <w:t xml:space="preserve"> </w:t>
      </w:r>
      <w:r w:rsidRPr="00781243">
        <w:rPr>
          <w:rFonts w:ascii="Simplified Arabic" w:hAnsi="Simplified Arabic" w:cs="Simplified Arabic"/>
          <w:sz w:val="22"/>
          <w:szCs w:val="22"/>
          <w:rtl/>
        </w:rPr>
        <w:t>، الوسيط في المنازعات الإدارية</w:t>
      </w:r>
      <w:r>
        <w:rPr>
          <w:rFonts w:ascii="Simplified Arabic" w:hAnsi="Simplified Arabic" w:cs="Simplified Arabic" w:hint="cs"/>
          <w:sz w:val="22"/>
          <w:szCs w:val="22"/>
          <w:rtl/>
        </w:rPr>
        <w:t>، المرجع السابق، ص 24.</w:t>
      </w:r>
      <w:r>
        <w:rPr>
          <w:rStyle w:val="Appelnotedebasdep"/>
        </w:rPr>
        <w:footnoteRef/>
      </w:r>
      <w:r>
        <w:t xml:space="preserve"> </w:t>
      </w:r>
    </w:p>
  </w:footnote>
  <w:footnote w:id="10">
    <w:p w:rsidR="001C61F9" w:rsidRPr="00787421" w:rsidRDefault="001C61F9" w:rsidP="001C61F9">
      <w:pPr>
        <w:pStyle w:val="Notedebasdepage"/>
        <w:bidi/>
        <w:rPr>
          <w:rFonts w:ascii="Simplified Arabic" w:hAnsi="Simplified Arabic" w:cs="Simplified Arabic"/>
          <w:sz w:val="24"/>
          <w:szCs w:val="24"/>
          <w:rtl/>
          <w:lang w:bidi="ar-DZ"/>
        </w:rPr>
      </w:pPr>
      <w:r w:rsidRPr="00787421">
        <w:rPr>
          <w:rStyle w:val="Appelnotedebasdep"/>
          <w:rFonts w:ascii="Simplified Arabic" w:hAnsi="Simplified Arabic" w:cs="Simplified Arabic"/>
          <w:sz w:val="24"/>
          <w:szCs w:val="24"/>
        </w:rPr>
        <w:footnoteRef/>
      </w:r>
      <w:r w:rsidRPr="00787421">
        <w:rPr>
          <w:rFonts w:ascii="Simplified Arabic" w:hAnsi="Simplified Arabic" w:cs="Simplified Arabic"/>
          <w:sz w:val="24"/>
          <w:szCs w:val="24"/>
        </w:rPr>
        <w:t xml:space="preserve"> </w:t>
      </w:r>
      <w:r w:rsidRPr="00787421">
        <w:rPr>
          <w:rFonts w:ascii="Simplified Arabic" w:hAnsi="Simplified Arabic" w:cs="Simplified Arabic"/>
          <w:sz w:val="24"/>
          <w:szCs w:val="24"/>
          <w:rtl/>
          <w:lang w:bidi="ar-DZ"/>
        </w:rPr>
        <w:t>- محمود حافظ، المرجع السابق، ص 54.</w:t>
      </w:r>
    </w:p>
  </w:footnote>
  <w:footnote w:id="11">
    <w:p w:rsidR="001C61F9" w:rsidRPr="00787421" w:rsidRDefault="001C61F9" w:rsidP="001C61F9">
      <w:pPr>
        <w:pStyle w:val="Notedebasdepage"/>
        <w:bidi/>
        <w:rPr>
          <w:rFonts w:ascii="Simplified Arabic" w:hAnsi="Simplified Arabic" w:cs="Simplified Arabic"/>
          <w:sz w:val="24"/>
          <w:szCs w:val="24"/>
          <w:rtl/>
          <w:lang w:bidi="ar-DZ"/>
        </w:rPr>
      </w:pPr>
      <w:r w:rsidRPr="00787421">
        <w:rPr>
          <w:rStyle w:val="Appelnotedebasdep"/>
          <w:rFonts w:ascii="Simplified Arabic" w:hAnsi="Simplified Arabic" w:cs="Simplified Arabic"/>
          <w:sz w:val="24"/>
          <w:szCs w:val="24"/>
        </w:rPr>
        <w:footnoteRef/>
      </w:r>
      <w:r w:rsidRPr="00787421">
        <w:rPr>
          <w:rFonts w:ascii="Simplified Arabic" w:hAnsi="Simplified Arabic" w:cs="Simplified Arabic"/>
          <w:sz w:val="24"/>
          <w:szCs w:val="24"/>
        </w:rPr>
        <w:t xml:space="preserve"> </w:t>
      </w:r>
      <w:r w:rsidRPr="00787421">
        <w:rPr>
          <w:rFonts w:ascii="Simplified Arabic" w:hAnsi="Simplified Arabic" w:cs="Simplified Arabic"/>
          <w:sz w:val="24"/>
          <w:szCs w:val="24"/>
          <w:rtl/>
          <w:lang w:bidi="ar-DZ"/>
        </w:rPr>
        <w:t xml:space="preserve">- عبد الفتاح </w:t>
      </w:r>
      <w:proofErr w:type="gramStart"/>
      <w:r w:rsidRPr="003C57C2">
        <w:rPr>
          <w:rFonts w:ascii="Simplified Arabic" w:hAnsi="Simplified Arabic" w:cs="Simplified Arabic"/>
          <w:sz w:val="24"/>
          <w:szCs w:val="24"/>
          <w:rtl/>
          <w:lang w:bidi="ar-DZ"/>
        </w:rPr>
        <w:t>ساير</w:t>
      </w:r>
      <w:r w:rsidRPr="00A857E3">
        <w:rPr>
          <w:rFonts w:ascii="Simplified Arabic" w:hAnsi="Simplified Arabic" w:cs="Simplified Arabic"/>
          <w:color w:val="C00000"/>
          <w:sz w:val="24"/>
          <w:szCs w:val="24"/>
          <w:rtl/>
          <w:lang w:bidi="ar-DZ"/>
        </w:rPr>
        <w:t xml:space="preserve"> </w:t>
      </w:r>
      <w:r w:rsidRPr="00787421">
        <w:rPr>
          <w:rFonts w:ascii="Simplified Arabic" w:hAnsi="Simplified Arabic" w:cs="Simplified Arabic"/>
          <w:sz w:val="24"/>
          <w:szCs w:val="24"/>
          <w:rtl/>
          <w:lang w:bidi="ar-DZ"/>
        </w:rPr>
        <w:t>،</w:t>
      </w:r>
      <w:proofErr w:type="gramEnd"/>
      <w:r w:rsidRPr="00787421">
        <w:rPr>
          <w:rFonts w:ascii="Simplified Arabic" w:hAnsi="Simplified Arabic" w:cs="Simplified Arabic"/>
          <w:sz w:val="24"/>
          <w:szCs w:val="24"/>
          <w:rtl/>
          <w:lang w:bidi="ar-DZ"/>
        </w:rPr>
        <w:t xml:space="preserve"> نظرية أعمال السيادة، دراسة مقارنة، رسالة دكتوراه، حقوق، القاهرة، 1955، ص 136.</w:t>
      </w:r>
    </w:p>
  </w:footnote>
  <w:footnote w:id="12">
    <w:p w:rsidR="001C61F9" w:rsidRDefault="001C61F9" w:rsidP="001C61F9">
      <w:pPr>
        <w:pStyle w:val="Notedebasdepage"/>
        <w:bidi/>
        <w:rPr>
          <w:rtl/>
          <w:lang w:bidi="ar-DZ"/>
        </w:rPr>
      </w:pPr>
      <w:r w:rsidRPr="00787421">
        <w:rPr>
          <w:rStyle w:val="Appelnotedebasdep"/>
          <w:rFonts w:ascii="Simplified Arabic" w:hAnsi="Simplified Arabic" w:cs="Simplified Arabic"/>
          <w:sz w:val="24"/>
          <w:szCs w:val="24"/>
        </w:rPr>
        <w:footnoteRef/>
      </w:r>
      <w:r w:rsidRPr="00787421">
        <w:rPr>
          <w:rFonts w:ascii="Simplified Arabic" w:hAnsi="Simplified Arabic" w:cs="Simplified Arabic"/>
          <w:sz w:val="24"/>
          <w:szCs w:val="24"/>
        </w:rPr>
        <w:t xml:space="preserve"> </w:t>
      </w:r>
      <w:r w:rsidRPr="00787421">
        <w:rPr>
          <w:rFonts w:ascii="Simplified Arabic" w:hAnsi="Simplified Arabic" w:cs="Simplified Arabic"/>
          <w:sz w:val="24"/>
          <w:szCs w:val="24"/>
          <w:rtl/>
          <w:lang w:bidi="ar-DZ"/>
        </w:rPr>
        <w:t>- نقاش حمزة، المرجع السابق، ص 30.</w:t>
      </w:r>
    </w:p>
  </w:footnote>
  <w:footnote w:id="13">
    <w:p w:rsidR="001C61F9" w:rsidRPr="007001D2"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sidRPr="007001D2">
        <w:rPr>
          <w:rFonts w:ascii="Simplified Arabic" w:hAnsi="Simplified Arabic" w:cs="Simplified Arabic"/>
          <w:sz w:val="22"/>
          <w:szCs w:val="22"/>
          <w:rtl/>
        </w:rPr>
        <w:t xml:space="preserve">ديدان مولود، مباحث في القانون الدستوري والنظم السياسية، ط 1، دار النجاح </w:t>
      </w:r>
      <w:proofErr w:type="gramStart"/>
      <w:r w:rsidRPr="007001D2">
        <w:rPr>
          <w:rFonts w:ascii="Simplified Arabic" w:hAnsi="Simplified Arabic" w:cs="Simplified Arabic"/>
          <w:sz w:val="22"/>
          <w:szCs w:val="22"/>
          <w:rtl/>
        </w:rPr>
        <w:t>للكتاب ،الجزائر</w:t>
      </w:r>
      <w:proofErr w:type="gramEnd"/>
      <w:r w:rsidRPr="007001D2">
        <w:rPr>
          <w:rFonts w:ascii="Simplified Arabic" w:hAnsi="Simplified Arabic" w:cs="Simplified Arabic"/>
          <w:sz w:val="22"/>
          <w:szCs w:val="22"/>
          <w:rtl/>
        </w:rPr>
        <w:t>، 2005،ص6</w:t>
      </w:r>
    </w:p>
  </w:footnote>
  <w:footnote w:id="14">
    <w:p w:rsidR="001C61F9" w:rsidRPr="00D03B45" w:rsidRDefault="001C61F9" w:rsidP="001C61F9">
      <w:pPr>
        <w:pStyle w:val="Notedebasdepage"/>
        <w:bidi/>
        <w:rPr>
          <w:rFonts w:ascii="Simplified Arabic" w:hAnsi="Simplified Arabic" w:cs="Simplified Arabic"/>
          <w:sz w:val="22"/>
          <w:szCs w:val="22"/>
          <w:rtl/>
        </w:rPr>
      </w:pPr>
      <w:r w:rsidRPr="00D03B45">
        <w:rPr>
          <w:rStyle w:val="Appelnotedebasdep"/>
          <w:rFonts w:ascii="Simplified Arabic" w:hAnsi="Simplified Arabic" w:cs="Simplified Arabic"/>
          <w:sz w:val="22"/>
          <w:szCs w:val="22"/>
        </w:rPr>
        <w:footnoteRef/>
      </w:r>
      <w:r w:rsidRPr="00D03B45">
        <w:rPr>
          <w:rFonts w:ascii="Simplified Arabic" w:hAnsi="Simplified Arabic" w:cs="Simplified Arabic"/>
          <w:sz w:val="22"/>
          <w:szCs w:val="22"/>
        </w:rPr>
        <w:t xml:space="preserve"> </w:t>
      </w:r>
      <w:r w:rsidRPr="00D03B45">
        <w:rPr>
          <w:rFonts w:ascii="Simplified Arabic" w:hAnsi="Simplified Arabic" w:cs="Simplified Arabic"/>
          <w:sz w:val="22"/>
          <w:szCs w:val="22"/>
          <w:rtl/>
        </w:rPr>
        <w:t xml:space="preserve"> صلاح الدين فوزي، المبادئ العامة للقانون الإداري، دراسة مقارنة، دار النهضة العربية،1991، ص 10.</w:t>
      </w:r>
    </w:p>
  </w:footnote>
  <w:footnote w:id="15">
    <w:p w:rsidR="001C61F9" w:rsidRPr="002A16DC"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Pr>
          <w:rFonts w:hint="cs"/>
          <w:rtl/>
        </w:rPr>
        <w:t xml:space="preserve"> </w:t>
      </w:r>
      <w:r w:rsidRPr="002A16DC">
        <w:rPr>
          <w:rFonts w:ascii="Simplified Arabic" w:hAnsi="Simplified Arabic" w:cs="Simplified Arabic"/>
          <w:sz w:val="22"/>
          <w:szCs w:val="22"/>
          <w:rtl/>
        </w:rPr>
        <w:t xml:space="preserve">محمد </w:t>
      </w:r>
      <w:proofErr w:type="spellStart"/>
      <w:r w:rsidRPr="002A16DC">
        <w:rPr>
          <w:rFonts w:ascii="Simplified Arabic" w:hAnsi="Simplified Arabic" w:cs="Simplified Arabic"/>
          <w:sz w:val="22"/>
          <w:szCs w:val="22"/>
          <w:rtl/>
        </w:rPr>
        <w:t>محمد</w:t>
      </w:r>
      <w:proofErr w:type="spellEnd"/>
      <w:r w:rsidRPr="002A16DC">
        <w:rPr>
          <w:rFonts w:ascii="Simplified Arabic" w:hAnsi="Simplified Arabic" w:cs="Simplified Arabic"/>
          <w:sz w:val="22"/>
          <w:szCs w:val="22"/>
          <w:rtl/>
        </w:rPr>
        <w:t xml:space="preserve"> بدران، رقابة القضاء على أعمال الإدارة، الكتاب الأول، دار النهضة </w:t>
      </w:r>
      <w:proofErr w:type="gramStart"/>
      <w:r w:rsidRPr="002A16DC">
        <w:rPr>
          <w:rFonts w:ascii="Simplified Arabic" w:hAnsi="Simplified Arabic" w:cs="Simplified Arabic"/>
          <w:sz w:val="22"/>
          <w:szCs w:val="22"/>
          <w:rtl/>
        </w:rPr>
        <w:t>العربية ،</w:t>
      </w:r>
      <w:proofErr w:type="gramEnd"/>
      <w:r w:rsidRPr="002A16DC">
        <w:rPr>
          <w:rFonts w:ascii="Simplified Arabic" w:hAnsi="Simplified Arabic" w:cs="Simplified Arabic"/>
          <w:sz w:val="22"/>
          <w:szCs w:val="22"/>
          <w:rtl/>
        </w:rPr>
        <w:t xml:space="preserve">  القاهرة ، 1991. ص 24</w:t>
      </w:r>
    </w:p>
  </w:footnote>
  <w:footnote w:id="16">
    <w:p w:rsidR="001C61F9" w:rsidRPr="002A16DC" w:rsidRDefault="001C61F9" w:rsidP="001C61F9">
      <w:pPr>
        <w:pStyle w:val="Notedebasdepage"/>
        <w:jc w:val="right"/>
        <w:rPr>
          <w:rFonts w:ascii="Simplified Arabic" w:hAnsi="Simplified Arabic" w:cs="Simplified Arabic"/>
          <w:sz w:val="22"/>
          <w:szCs w:val="22"/>
          <w:rtl/>
        </w:rPr>
      </w:pPr>
      <w:r w:rsidRPr="002A16DC">
        <w:rPr>
          <w:rFonts w:ascii="Simplified Arabic" w:hAnsi="Simplified Arabic" w:cs="Simplified Arabic"/>
          <w:sz w:val="22"/>
          <w:szCs w:val="22"/>
          <w:rtl/>
        </w:rPr>
        <w:t xml:space="preserve"> محمد الصغير بعلي،</w:t>
      </w:r>
      <w:r>
        <w:rPr>
          <w:rFonts w:ascii="Simplified Arabic" w:hAnsi="Simplified Arabic" w:cs="Simplified Arabic" w:hint="cs"/>
          <w:sz w:val="22"/>
          <w:szCs w:val="22"/>
          <w:rtl/>
        </w:rPr>
        <w:t xml:space="preserve"> الوسيط في المنازعات الإدارية</w:t>
      </w:r>
      <w:r w:rsidRPr="002A16DC">
        <w:rPr>
          <w:rFonts w:ascii="Simplified Arabic" w:hAnsi="Simplified Arabic" w:cs="Simplified Arabic"/>
          <w:sz w:val="22"/>
          <w:szCs w:val="22"/>
          <w:rtl/>
        </w:rPr>
        <w:t xml:space="preserve"> المرجع السابق، ص 13. </w:t>
      </w:r>
      <w:r w:rsidRPr="002A16DC">
        <w:rPr>
          <w:rStyle w:val="Appelnotedebasdep"/>
          <w:rFonts w:ascii="Simplified Arabic" w:hAnsi="Simplified Arabic" w:cs="Simplified Arabic"/>
          <w:sz w:val="22"/>
          <w:szCs w:val="22"/>
        </w:rPr>
        <w:footnoteRef/>
      </w:r>
      <w:r w:rsidRPr="002A16DC">
        <w:rPr>
          <w:rFonts w:ascii="Simplified Arabic" w:hAnsi="Simplified Arabic" w:cs="Simplified Arabic"/>
          <w:sz w:val="22"/>
          <w:szCs w:val="22"/>
        </w:rPr>
        <w:t xml:space="preserve"> </w:t>
      </w:r>
    </w:p>
  </w:footnote>
  <w:footnote w:id="17">
    <w:p w:rsidR="001C61F9" w:rsidRPr="002A16DC" w:rsidRDefault="001C61F9" w:rsidP="001C61F9">
      <w:pPr>
        <w:pStyle w:val="Notedebasdepage"/>
        <w:bidi/>
        <w:rPr>
          <w:rFonts w:ascii="Simplified Arabic" w:hAnsi="Simplified Arabic" w:cs="Simplified Arabic"/>
          <w:sz w:val="22"/>
          <w:szCs w:val="22"/>
          <w:rtl/>
        </w:rPr>
      </w:pPr>
      <w:r w:rsidRPr="002A16DC">
        <w:rPr>
          <w:rStyle w:val="Appelnotedebasdep"/>
          <w:rFonts w:ascii="Simplified Arabic" w:hAnsi="Simplified Arabic" w:cs="Simplified Arabic"/>
          <w:sz w:val="22"/>
          <w:szCs w:val="22"/>
        </w:rPr>
        <w:footnoteRef/>
      </w:r>
      <w:r w:rsidRPr="002A16DC">
        <w:rPr>
          <w:rFonts w:ascii="Simplified Arabic" w:hAnsi="Simplified Arabic" w:cs="Simplified Arabic"/>
          <w:sz w:val="22"/>
          <w:szCs w:val="22"/>
        </w:rPr>
        <w:t xml:space="preserve"> </w:t>
      </w:r>
      <w:r w:rsidRPr="002A16DC">
        <w:rPr>
          <w:rFonts w:ascii="Simplified Arabic" w:hAnsi="Simplified Arabic" w:cs="Simplified Arabic"/>
          <w:sz w:val="22"/>
          <w:szCs w:val="22"/>
          <w:rtl/>
        </w:rPr>
        <w:t xml:space="preserve">برهان خليل </w:t>
      </w:r>
      <w:proofErr w:type="spellStart"/>
      <w:r w:rsidRPr="002A16DC">
        <w:rPr>
          <w:rFonts w:ascii="Simplified Arabic" w:hAnsi="Simplified Arabic" w:cs="Simplified Arabic"/>
          <w:sz w:val="22"/>
          <w:szCs w:val="22"/>
          <w:rtl/>
        </w:rPr>
        <w:t>رزيق</w:t>
      </w:r>
      <w:proofErr w:type="spellEnd"/>
      <w:r w:rsidRPr="002A16DC">
        <w:rPr>
          <w:rFonts w:ascii="Simplified Arabic" w:hAnsi="Simplified Arabic" w:cs="Simplified Arabic"/>
          <w:sz w:val="22"/>
          <w:szCs w:val="22"/>
          <w:rtl/>
        </w:rPr>
        <w:t>، النظرية العامة للعرف الإداري، رسالة دكتوراه، كلية الحقوق جامعة المنصورة</w:t>
      </w:r>
      <w:proofErr w:type="gramStart"/>
      <w:r w:rsidRPr="002A16DC">
        <w:rPr>
          <w:rFonts w:ascii="Simplified Arabic" w:hAnsi="Simplified Arabic" w:cs="Simplified Arabic"/>
          <w:sz w:val="22"/>
          <w:szCs w:val="22"/>
          <w:rtl/>
        </w:rPr>
        <w:t>، ،</w:t>
      </w:r>
      <w:proofErr w:type="gramEnd"/>
      <w:r w:rsidRPr="002A16DC">
        <w:rPr>
          <w:rFonts w:ascii="Simplified Arabic" w:hAnsi="Simplified Arabic" w:cs="Simplified Arabic"/>
          <w:sz w:val="22"/>
          <w:szCs w:val="22"/>
          <w:rtl/>
        </w:rPr>
        <w:t xml:space="preserve"> 1984، ص33.</w:t>
      </w:r>
    </w:p>
  </w:footnote>
  <w:footnote w:id="18">
    <w:p w:rsidR="001C61F9" w:rsidRPr="009B1FFE" w:rsidRDefault="001C61F9" w:rsidP="001C61F9">
      <w:pPr>
        <w:pStyle w:val="Notedebasdepage"/>
        <w:jc w:val="right"/>
        <w:rPr>
          <w:rtl/>
        </w:rPr>
      </w:pPr>
      <w:r>
        <w:rPr>
          <w:rFonts w:ascii="Simplified Arabic" w:hAnsi="Simplified Arabic" w:cs="Simplified Arabic"/>
          <w:sz w:val="22"/>
          <w:szCs w:val="22"/>
          <w:rtl/>
        </w:rPr>
        <w:t>محمد فؤاد مهنا،</w:t>
      </w:r>
      <w:r w:rsidRPr="002A16DC">
        <w:rPr>
          <w:rFonts w:ascii="Simplified Arabic" w:hAnsi="Simplified Arabic" w:cs="Simplified Arabic"/>
          <w:sz w:val="22"/>
          <w:szCs w:val="22"/>
          <w:rtl/>
        </w:rPr>
        <w:t xml:space="preserve"> القانون الإداري العربي في النظام الاشتراكي الديمقراطي التعاوني، منشأة المعارف ،1965، ص</w:t>
      </w:r>
      <w:proofErr w:type="gramStart"/>
      <w:r w:rsidRPr="002A16DC">
        <w:rPr>
          <w:rFonts w:ascii="Simplified Arabic" w:hAnsi="Simplified Arabic" w:cs="Simplified Arabic"/>
          <w:sz w:val="22"/>
          <w:szCs w:val="22"/>
          <w:rtl/>
        </w:rPr>
        <w:t>89 .</w:t>
      </w:r>
      <w:proofErr w:type="gramEnd"/>
      <w:r>
        <w:rPr>
          <w:rStyle w:val="Appelnotedebasdep"/>
        </w:rPr>
        <w:t xml:space="preserve"> </w:t>
      </w:r>
      <w:r>
        <w:rPr>
          <w:rStyle w:val="Appelnotedebasdep"/>
        </w:rPr>
        <w:footnoteRef/>
      </w:r>
      <w:r>
        <w:t xml:space="preserve"> </w:t>
      </w:r>
    </w:p>
  </w:footnote>
  <w:footnote w:id="19">
    <w:p w:rsidR="001C61F9" w:rsidRPr="00AB2665" w:rsidRDefault="001C61F9" w:rsidP="001C61F9">
      <w:pPr>
        <w:pStyle w:val="Notedebasdepage"/>
        <w:bidi/>
        <w:rPr>
          <w:rFonts w:ascii="Simplified Arabic" w:hAnsi="Simplified Arabic" w:cs="Simplified Arabic"/>
          <w:sz w:val="22"/>
          <w:szCs w:val="22"/>
          <w:rtl/>
        </w:rPr>
      </w:pPr>
      <w:r>
        <w:rPr>
          <w:rStyle w:val="Appelnotedebasdep"/>
        </w:rPr>
        <w:footnoteRef/>
      </w:r>
      <w:r w:rsidRPr="00AB2665">
        <w:rPr>
          <w:rFonts w:ascii="Simplified Arabic" w:hAnsi="Simplified Arabic" w:cs="Simplified Arabic"/>
          <w:sz w:val="22"/>
          <w:szCs w:val="22"/>
        </w:rPr>
        <w:t xml:space="preserve"> </w:t>
      </w:r>
      <w:r w:rsidRPr="00AB2665">
        <w:rPr>
          <w:rFonts w:ascii="Simplified Arabic" w:hAnsi="Simplified Arabic" w:cs="Simplified Arabic"/>
          <w:sz w:val="22"/>
          <w:szCs w:val="22"/>
          <w:rtl/>
        </w:rPr>
        <w:t xml:space="preserve">  محمد الصغير بعلي، الوجيز في المنازعات الإدارية، المرجع السابق، ص 12</w:t>
      </w:r>
      <w:r>
        <w:rPr>
          <w:rFonts w:ascii="Simplified Arabic" w:hAnsi="Simplified Arabic" w:cs="Simplified Arabic" w:hint="cs"/>
          <w:sz w:val="22"/>
          <w:szCs w:val="22"/>
          <w:rtl/>
        </w:rPr>
        <w:t>.</w:t>
      </w:r>
    </w:p>
  </w:footnote>
  <w:footnote w:id="20">
    <w:p w:rsidR="001C61F9" w:rsidRPr="00AB2665" w:rsidRDefault="001C61F9" w:rsidP="001C61F9">
      <w:pPr>
        <w:pStyle w:val="Notedebasdepage"/>
        <w:jc w:val="right"/>
        <w:rPr>
          <w:rtl/>
        </w:rPr>
      </w:pPr>
      <w:r w:rsidRPr="00AB2665">
        <w:rPr>
          <w:rFonts w:ascii="Simplified Arabic" w:hAnsi="Simplified Arabic" w:cs="Simplified Arabic"/>
          <w:sz w:val="22"/>
          <w:szCs w:val="22"/>
          <w:rtl/>
        </w:rPr>
        <w:t xml:space="preserve"> عبد الغني بسيوني، القضاء الإداري ومجلس شورى الدولة اللبناني، الدار الجامعية للطباعة والنشر، </w:t>
      </w:r>
      <w:proofErr w:type="gramStart"/>
      <w:r w:rsidRPr="00AB2665">
        <w:rPr>
          <w:rFonts w:ascii="Simplified Arabic" w:hAnsi="Simplified Arabic" w:cs="Simplified Arabic"/>
          <w:sz w:val="22"/>
          <w:szCs w:val="22"/>
          <w:rtl/>
        </w:rPr>
        <w:t>الإسكندرية ،</w:t>
      </w:r>
      <w:proofErr w:type="gramEnd"/>
      <w:r w:rsidRPr="00AB2665">
        <w:rPr>
          <w:rFonts w:ascii="Simplified Arabic" w:hAnsi="Simplified Arabic" w:cs="Simplified Arabic"/>
          <w:sz w:val="22"/>
          <w:szCs w:val="22"/>
          <w:rtl/>
        </w:rPr>
        <w:t xml:space="preserve"> 1999، ص32</w:t>
      </w:r>
      <w:r>
        <w:rPr>
          <w:rFonts w:hint="cs"/>
          <w:rtl/>
        </w:rPr>
        <w:t>.</w:t>
      </w:r>
      <w:r>
        <w:rPr>
          <w:rStyle w:val="Appelnotedebasdep"/>
        </w:rPr>
        <w:t xml:space="preserve"> </w:t>
      </w:r>
      <w:r>
        <w:rPr>
          <w:rStyle w:val="Appelnotedebasdep"/>
        </w:rPr>
        <w:footnoteRef/>
      </w:r>
      <w:r>
        <w:t xml:space="preserve"> </w:t>
      </w:r>
    </w:p>
  </w:footnote>
  <w:footnote w:id="21">
    <w:p w:rsidR="001C61F9" w:rsidRPr="00320DFD"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Pr>
          <w:rFonts w:hint="cs"/>
          <w:rtl/>
        </w:rPr>
        <w:t xml:space="preserve"> </w:t>
      </w:r>
      <w:r w:rsidRPr="00320DFD">
        <w:rPr>
          <w:rFonts w:ascii="Simplified Arabic" w:hAnsi="Simplified Arabic" w:cs="Simplified Arabic"/>
          <w:sz w:val="22"/>
          <w:szCs w:val="22"/>
          <w:rtl/>
        </w:rPr>
        <w:t xml:space="preserve">راجع كل من: </w:t>
      </w:r>
      <w:proofErr w:type="spellStart"/>
      <w:r w:rsidRPr="00320DFD">
        <w:rPr>
          <w:rFonts w:ascii="Simplified Arabic" w:hAnsi="Simplified Arabic" w:cs="Simplified Arabic"/>
          <w:sz w:val="22"/>
          <w:szCs w:val="22"/>
          <w:rtl/>
        </w:rPr>
        <w:t>عوابدي</w:t>
      </w:r>
      <w:proofErr w:type="spellEnd"/>
      <w:r w:rsidRPr="00320DFD">
        <w:rPr>
          <w:rFonts w:ascii="Simplified Arabic" w:hAnsi="Simplified Arabic" w:cs="Simplified Arabic"/>
          <w:sz w:val="22"/>
          <w:szCs w:val="22"/>
          <w:rtl/>
        </w:rPr>
        <w:t xml:space="preserve"> عمار، الفانون </w:t>
      </w:r>
      <w:proofErr w:type="gramStart"/>
      <w:r w:rsidRPr="00320DFD">
        <w:rPr>
          <w:rFonts w:ascii="Simplified Arabic" w:hAnsi="Simplified Arabic" w:cs="Simplified Arabic"/>
          <w:sz w:val="22"/>
          <w:szCs w:val="22"/>
          <w:rtl/>
        </w:rPr>
        <w:t xml:space="preserve">الإداري </w:t>
      </w:r>
      <w:r>
        <w:rPr>
          <w:rFonts w:ascii="Simplified Arabic" w:hAnsi="Simplified Arabic" w:cs="Simplified Arabic" w:hint="cs"/>
          <w:sz w:val="22"/>
          <w:szCs w:val="22"/>
          <w:rtl/>
        </w:rPr>
        <w:t>،</w:t>
      </w:r>
      <w:proofErr w:type="gramEnd"/>
      <w:r>
        <w:rPr>
          <w:rFonts w:ascii="Simplified Arabic" w:hAnsi="Simplified Arabic" w:cs="Simplified Arabic" w:hint="cs"/>
          <w:sz w:val="22"/>
          <w:szCs w:val="22"/>
          <w:rtl/>
        </w:rPr>
        <w:t xml:space="preserve"> </w:t>
      </w:r>
      <w:r w:rsidRPr="00320DFD">
        <w:rPr>
          <w:rFonts w:ascii="Simplified Arabic" w:hAnsi="Simplified Arabic" w:cs="Simplified Arabic"/>
          <w:sz w:val="22"/>
          <w:szCs w:val="22"/>
          <w:rtl/>
        </w:rPr>
        <w:t>الجزء الأول،</w:t>
      </w:r>
      <w:r>
        <w:rPr>
          <w:rFonts w:ascii="Simplified Arabic" w:hAnsi="Simplified Arabic" w:cs="Simplified Arabic" w:hint="cs"/>
          <w:sz w:val="22"/>
          <w:szCs w:val="22"/>
          <w:rtl/>
        </w:rPr>
        <w:t xml:space="preserve">  ط 3 ،</w:t>
      </w:r>
      <w:r w:rsidRPr="00320DFD">
        <w:rPr>
          <w:rFonts w:ascii="Simplified Arabic" w:hAnsi="Simplified Arabic" w:cs="Simplified Arabic"/>
          <w:sz w:val="22"/>
          <w:szCs w:val="22"/>
          <w:rtl/>
        </w:rPr>
        <w:t>ديوان المطبوعات الجامعية ، سنة 2005 ،</w:t>
      </w:r>
      <w:r>
        <w:rPr>
          <w:rFonts w:ascii="Simplified Arabic" w:hAnsi="Simplified Arabic" w:cs="Simplified Arabic" w:hint="cs"/>
          <w:sz w:val="22"/>
          <w:szCs w:val="22"/>
          <w:rtl/>
        </w:rPr>
        <w:t xml:space="preserve"> </w:t>
      </w:r>
      <w:r w:rsidRPr="00320DFD">
        <w:rPr>
          <w:rFonts w:ascii="Simplified Arabic" w:hAnsi="Simplified Arabic" w:cs="Simplified Arabic"/>
          <w:sz w:val="22"/>
          <w:szCs w:val="22"/>
          <w:rtl/>
        </w:rPr>
        <w:t xml:space="preserve">ص 101 </w:t>
      </w:r>
      <w:r>
        <w:rPr>
          <w:rFonts w:ascii="Simplified Arabic" w:hAnsi="Simplified Arabic" w:cs="Simplified Arabic" w:hint="cs"/>
          <w:sz w:val="22"/>
          <w:szCs w:val="22"/>
          <w:rtl/>
        </w:rPr>
        <w:t>.    و</w:t>
      </w:r>
      <w:r w:rsidRPr="00320DFD">
        <w:rPr>
          <w:rFonts w:ascii="Simplified Arabic" w:hAnsi="Simplified Arabic" w:cs="Simplified Arabic"/>
          <w:sz w:val="22"/>
          <w:szCs w:val="22"/>
          <w:rtl/>
        </w:rPr>
        <w:t xml:space="preserve"> </w:t>
      </w:r>
      <w:proofErr w:type="spellStart"/>
      <w:r w:rsidRPr="00320DFD">
        <w:rPr>
          <w:rFonts w:ascii="Simplified Arabic" w:hAnsi="Simplified Arabic" w:cs="Simplified Arabic"/>
          <w:sz w:val="22"/>
          <w:szCs w:val="22"/>
          <w:rtl/>
        </w:rPr>
        <w:t>محيو</w:t>
      </w:r>
      <w:proofErr w:type="spellEnd"/>
      <w:r w:rsidRPr="00320DFD">
        <w:rPr>
          <w:rFonts w:ascii="Simplified Arabic" w:hAnsi="Simplified Arabic" w:cs="Simplified Arabic"/>
          <w:sz w:val="22"/>
          <w:szCs w:val="22"/>
          <w:rtl/>
        </w:rPr>
        <w:t xml:space="preserve"> </w:t>
      </w:r>
      <w:proofErr w:type="gramStart"/>
      <w:r w:rsidRPr="00320DFD">
        <w:rPr>
          <w:rFonts w:ascii="Simplified Arabic" w:hAnsi="Simplified Arabic" w:cs="Simplified Arabic"/>
          <w:sz w:val="22"/>
          <w:szCs w:val="22"/>
          <w:rtl/>
        </w:rPr>
        <w:t>أحمد  محاضرات</w:t>
      </w:r>
      <w:proofErr w:type="gramEnd"/>
      <w:r w:rsidRPr="00320DFD">
        <w:rPr>
          <w:rFonts w:ascii="Simplified Arabic" w:hAnsi="Simplified Arabic" w:cs="Simplified Arabic"/>
          <w:sz w:val="22"/>
          <w:szCs w:val="22"/>
          <w:rtl/>
        </w:rPr>
        <w:t xml:space="preserve"> في المؤسسات الإدارية، ترجمة محمد عرب </w:t>
      </w:r>
      <w:proofErr w:type="spellStart"/>
      <w:r w:rsidRPr="00320DFD">
        <w:rPr>
          <w:rFonts w:ascii="Simplified Arabic" w:hAnsi="Simplified Arabic" w:cs="Simplified Arabic"/>
          <w:sz w:val="22"/>
          <w:szCs w:val="22"/>
          <w:rtl/>
        </w:rPr>
        <w:t>صاصيلا</w:t>
      </w:r>
      <w:proofErr w:type="spellEnd"/>
      <w:r w:rsidRPr="00320DFD">
        <w:rPr>
          <w:rFonts w:ascii="Simplified Arabic" w:hAnsi="Simplified Arabic" w:cs="Simplified Arabic"/>
          <w:sz w:val="22"/>
          <w:szCs w:val="22"/>
          <w:rtl/>
        </w:rPr>
        <w:t xml:space="preserve">، ديوان المطبوعات الجامعية الجزائر سنة 1990 </w:t>
      </w:r>
      <w:r>
        <w:rPr>
          <w:rFonts w:ascii="Simplified Arabic" w:hAnsi="Simplified Arabic" w:cs="Simplified Arabic" w:hint="cs"/>
          <w:sz w:val="22"/>
          <w:szCs w:val="22"/>
          <w:rtl/>
        </w:rPr>
        <w:t xml:space="preserve">  </w:t>
      </w:r>
      <w:r w:rsidRPr="00320DFD">
        <w:rPr>
          <w:rFonts w:ascii="Simplified Arabic" w:hAnsi="Simplified Arabic" w:cs="Simplified Arabic"/>
          <w:sz w:val="22"/>
          <w:szCs w:val="22"/>
          <w:rtl/>
        </w:rPr>
        <w:t>ص 47 وما بعدها.</w:t>
      </w:r>
    </w:p>
  </w:footnote>
  <w:footnote w:id="22">
    <w:p w:rsidR="001C61F9" w:rsidRPr="006F3274" w:rsidRDefault="001C61F9" w:rsidP="001C61F9">
      <w:pPr>
        <w:pStyle w:val="Notedebasdepage"/>
        <w:jc w:val="right"/>
        <w:rPr>
          <w:rtl/>
        </w:rPr>
      </w:pPr>
      <w:r>
        <w:rPr>
          <w:rFonts w:hint="cs"/>
          <w:rtl/>
        </w:rPr>
        <w:t xml:space="preserve"> </w:t>
      </w:r>
      <w:r w:rsidRPr="00AB2665">
        <w:rPr>
          <w:rFonts w:ascii="Simplified Arabic" w:hAnsi="Simplified Arabic" w:cs="Simplified Arabic"/>
          <w:sz w:val="22"/>
          <w:szCs w:val="22"/>
          <w:rtl/>
        </w:rPr>
        <w:t xml:space="preserve">محمد الصغير بعلي، الوجيز في المنازعات الإدارية، المرجع السابق، ص </w:t>
      </w:r>
      <w:r>
        <w:rPr>
          <w:rFonts w:ascii="Simplified Arabic" w:hAnsi="Simplified Arabic" w:cs="Simplified Arabic" w:hint="cs"/>
          <w:sz w:val="22"/>
          <w:szCs w:val="22"/>
          <w:rtl/>
        </w:rPr>
        <w:t>16.</w:t>
      </w:r>
      <w:r>
        <w:rPr>
          <w:rStyle w:val="Appelnotedebasdep"/>
        </w:rPr>
        <w:footnoteRef/>
      </w:r>
      <w:r>
        <w:t xml:space="preserve"> </w:t>
      </w:r>
    </w:p>
  </w:footnote>
  <w:footnote w:id="23">
    <w:p w:rsidR="001C61F9" w:rsidRPr="006F3274" w:rsidRDefault="001C61F9" w:rsidP="001C61F9">
      <w:pPr>
        <w:pStyle w:val="Notedebasdepage"/>
        <w:jc w:val="right"/>
        <w:rPr>
          <w:rtl/>
        </w:rPr>
      </w:pPr>
      <w:r>
        <w:rPr>
          <w:rFonts w:hint="cs"/>
          <w:rtl/>
        </w:rPr>
        <w:t xml:space="preserve"> </w:t>
      </w:r>
      <w:r w:rsidRPr="006F3274">
        <w:rPr>
          <w:rFonts w:ascii="Simplified Arabic" w:hAnsi="Simplified Arabic" w:cs="Simplified Arabic"/>
          <w:sz w:val="22"/>
          <w:szCs w:val="22"/>
          <w:rtl/>
        </w:rPr>
        <w:t xml:space="preserve">محمد </w:t>
      </w:r>
      <w:proofErr w:type="spellStart"/>
      <w:r w:rsidRPr="006F3274">
        <w:rPr>
          <w:rFonts w:ascii="Simplified Arabic" w:hAnsi="Simplified Arabic" w:cs="Simplified Arabic"/>
          <w:sz w:val="22"/>
          <w:szCs w:val="22"/>
          <w:rtl/>
        </w:rPr>
        <w:t>محمد</w:t>
      </w:r>
      <w:proofErr w:type="spellEnd"/>
      <w:r w:rsidRPr="006F3274">
        <w:rPr>
          <w:rFonts w:ascii="Simplified Arabic" w:hAnsi="Simplified Arabic" w:cs="Simplified Arabic"/>
          <w:sz w:val="22"/>
          <w:szCs w:val="22"/>
          <w:rtl/>
        </w:rPr>
        <w:t xml:space="preserve"> </w:t>
      </w:r>
      <w:proofErr w:type="gramStart"/>
      <w:r w:rsidRPr="006F3274">
        <w:rPr>
          <w:rFonts w:ascii="Simplified Arabic" w:hAnsi="Simplified Arabic" w:cs="Simplified Arabic"/>
          <w:sz w:val="22"/>
          <w:szCs w:val="22"/>
          <w:rtl/>
        </w:rPr>
        <w:t>بدران ،</w:t>
      </w:r>
      <w:proofErr w:type="gramEnd"/>
      <w:r w:rsidRPr="006F3274">
        <w:rPr>
          <w:rFonts w:ascii="Simplified Arabic" w:hAnsi="Simplified Arabic" w:cs="Simplified Arabic"/>
          <w:sz w:val="22"/>
          <w:szCs w:val="22"/>
          <w:rtl/>
        </w:rPr>
        <w:t xml:space="preserve"> المرجع السابق، ص41</w:t>
      </w:r>
      <w:r>
        <w:rPr>
          <w:rFonts w:hint="cs"/>
          <w:rtl/>
        </w:rPr>
        <w:t xml:space="preserve">. </w:t>
      </w:r>
      <w:r>
        <w:rPr>
          <w:rStyle w:val="Appelnotedebasdep"/>
        </w:rPr>
        <w:footnoteRef/>
      </w:r>
      <w:r>
        <w:t xml:space="preserve"> </w:t>
      </w:r>
      <w:r>
        <w:rPr>
          <w:rFonts w:hint="cs"/>
          <w:rtl/>
        </w:rPr>
        <w:t xml:space="preserve"> </w:t>
      </w:r>
    </w:p>
  </w:footnote>
  <w:footnote w:id="24">
    <w:p w:rsidR="001C61F9" w:rsidRPr="001D7D5C" w:rsidRDefault="001C61F9" w:rsidP="001C61F9">
      <w:pPr>
        <w:pStyle w:val="Notedebasdepage"/>
        <w:bidi/>
        <w:rPr>
          <w:rtl/>
        </w:rPr>
      </w:pPr>
      <w:r>
        <w:rPr>
          <w:rStyle w:val="Appelnotedebasdep"/>
        </w:rPr>
        <w:footnoteRef/>
      </w:r>
      <w:r>
        <w:t xml:space="preserve"> </w:t>
      </w:r>
      <w:r>
        <w:rPr>
          <w:rFonts w:hint="cs"/>
          <w:rtl/>
        </w:rPr>
        <w:t xml:space="preserve">  </w:t>
      </w:r>
      <w:r w:rsidRPr="001D7D5C">
        <w:rPr>
          <w:rFonts w:ascii="Simplified Arabic" w:hAnsi="Simplified Arabic" w:cs="Simplified Arabic"/>
          <w:sz w:val="22"/>
          <w:szCs w:val="22"/>
          <w:rtl/>
        </w:rPr>
        <w:t>راجع في ذلك المرجع نفسه، ص34.</w:t>
      </w:r>
    </w:p>
  </w:footnote>
  <w:footnote w:id="25">
    <w:p w:rsidR="001C61F9" w:rsidRPr="001D7D5C" w:rsidRDefault="001C61F9" w:rsidP="001C61F9">
      <w:pPr>
        <w:pStyle w:val="Notedebasdepage"/>
        <w:bidi/>
        <w:rPr>
          <w:rtl/>
        </w:rPr>
      </w:pPr>
      <w:r>
        <w:rPr>
          <w:rStyle w:val="Appelnotedebasdep"/>
        </w:rPr>
        <w:footnoteRef/>
      </w:r>
      <w:r>
        <w:t xml:space="preserve"> </w:t>
      </w:r>
      <w:r>
        <w:rPr>
          <w:rFonts w:hint="cs"/>
          <w:rtl/>
        </w:rPr>
        <w:t xml:space="preserve"> </w:t>
      </w:r>
      <w:r w:rsidRPr="00AB2665">
        <w:rPr>
          <w:rFonts w:ascii="Simplified Arabic" w:hAnsi="Simplified Arabic" w:cs="Simplified Arabic"/>
          <w:sz w:val="22"/>
          <w:szCs w:val="22"/>
          <w:rtl/>
        </w:rPr>
        <w:t xml:space="preserve">محمد الصغير بعلي، الوجيز في المنازعات الإدارية، المرجع السابق، ص </w:t>
      </w:r>
      <w:r>
        <w:rPr>
          <w:rFonts w:ascii="Simplified Arabic" w:hAnsi="Simplified Arabic" w:cs="Simplified Arabic" w:hint="cs"/>
          <w:sz w:val="22"/>
          <w:szCs w:val="22"/>
          <w:rtl/>
        </w:rPr>
        <w:t>26.</w:t>
      </w:r>
    </w:p>
  </w:footnote>
  <w:footnote w:id="26">
    <w:p w:rsidR="001C61F9" w:rsidRPr="00072808" w:rsidRDefault="001C61F9" w:rsidP="001C61F9">
      <w:pPr>
        <w:pStyle w:val="Notedebasdepage"/>
        <w:jc w:val="right"/>
        <w:rPr>
          <w:rtl/>
        </w:rPr>
      </w:pPr>
      <w:r>
        <w:rPr>
          <w:rFonts w:hint="cs"/>
          <w:rtl/>
        </w:rPr>
        <w:t xml:space="preserve"> </w:t>
      </w:r>
      <w:proofErr w:type="spellStart"/>
      <w:r w:rsidRPr="00072808">
        <w:rPr>
          <w:rFonts w:ascii="Simplified Arabic" w:hAnsi="Simplified Arabic" w:cs="Simplified Arabic"/>
          <w:sz w:val="22"/>
          <w:szCs w:val="22"/>
          <w:rtl/>
        </w:rPr>
        <w:t>طعيمة</w:t>
      </w:r>
      <w:proofErr w:type="spellEnd"/>
      <w:r w:rsidRPr="00072808">
        <w:rPr>
          <w:rFonts w:ascii="Simplified Arabic" w:hAnsi="Simplified Arabic" w:cs="Simplified Arabic"/>
          <w:sz w:val="22"/>
          <w:szCs w:val="22"/>
          <w:rtl/>
        </w:rPr>
        <w:t xml:space="preserve"> الجرف، رقابة القضاء لأعمال الإدارة العامة، </w:t>
      </w:r>
      <w:r>
        <w:rPr>
          <w:rFonts w:ascii="Simplified Arabic" w:hAnsi="Simplified Arabic" w:cs="Simplified Arabic" w:hint="cs"/>
          <w:sz w:val="22"/>
          <w:szCs w:val="22"/>
          <w:rtl/>
        </w:rPr>
        <w:t xml:space="preserve">مكتبة القاهرة </w:t>
      </w:r>
      <w:proofErr w:type="gramStart"/>
      <w:r>
        <w:rPr>
          <w:rFonts w:ascii="Simplified Arabic" w:hAnsi="Simplified Arabic" w:cs="Simplified Arabic" w:hint="cs"/>
          <w:sz w:val="22"/>
          <w:szCs w:val="22"/>
          <w:rtl/>
        </w:rPr>
        <w:t>الحديثة ،</w:t>
      </w:r>
      <w:proofErr w:type="gramEnd"/>
      <w:r>
        <w:rPr>
          <w:rFonts w:ascii="Simplified Arabic" w:hAnsi="Simplified Arabic" w:cs="Simplified Arabic" w:hint="cs"/>
          <w:sz w:val="22"/>
          <w:szCs w:val="22"/>
          <w:rtl/>
        </w:rPr>
        <w:t xml:space="preserve"> 1970</w:t>
      </w:r>
      <w:r w:rsidRPr="00072808">
        <w:rPr>
          <w:rFonts w:ascii="Simplified Arabic" w:hAnsi="Simplified Arabic" w:cs="Simplified Arabic"/>
          <w:sz w:val="22"/>
          <w:szCs w:val="22"/>
          <w:rtl/>
        </w:rPr>
        <w:t xml:space="preserve"> ، ص73</w:t>
      </w:r>
      <w:r>
        <w:rPr>
          <w:rStyle w:val="Appelnotedebasdep"/>
        </w:rPr>
        <w:footnoteRef/>
      </w:r>
      <w:r>
        <w:t xml:space="preserve"> </w:t>
      </w:r>
    </w:p>
  </w:footnote>
  <w:footnote w:id="27">
    <w:p w:rsidR="001C61F9" w:rsidRPr="0082056B" w:rsidRDefault="001C61F9" w:rsidP="001C61F9">
      <w:pPr>
        <w:pStyle w:val="Notedebasdepage"/>
        <w:jc w:val="right"/>
        <w:rPr>
          <w:rtl/>
        </w:rPr>
      </w:pPr>
      <w:r>
        <w:rPr>
          <w:rFonts w:hint="cs"/>
          <w:rtl/>
        </w:rPr>
        <w:t xml:space="preserve"> </w:t>
      </w:r>
      <w:r w:rsidRPr="0082056B">
        <w:rPr>
          <w:rFonts w:ascii="Simplified Arabic" w:hAnsi="Simplified Arabic" w:cs="Simplified Arabic"/>
          <w:sz w:val="22"/>
          <w:szCs w:val="22"/>
          <w:rtl/>
        </w:rPr>
        <w:t xml:space="preserve">يسري محمد </w:t>
      </w:r>
      <w:proofErr w:type="gramStart"/>
      <w:r w:rsidRPr="0082056B">
        <w:rPr>
          <w:rFonts w:ascii="Simplified Arabic" w:hAnsi="Simplified Arabic" w:cs="Simplified Arabic"/>
          <w:sz w:val="22"/>
          <w:szCs w:val="22"/>
          <w:rtl/>
        </w:rPr>
        <w:t>العصار ،</w:t>
      </w:r>
      <w:proofErr w:type="gramEnd"/>
      <w:r w:rsidRPr="0082056B">
        <w:rPr>
          <w:rFonts w:ascii="Simplified Arabic" w:hAnsi="Simplified Arabic" w:cs="Simplified Arabic"/>
          <w:sz w:val="22"/>
          <w:szCs w:val="22"/>
          <w:rtl/>
        </w:rPr>
        <w:t xml:space="preserve"> القضاء الإداري ، دراسة مقارنة ، دار الثقافة العربية، سنة 2002، ص 189.</w:t>
      </w:r>
      <w:r>
        <w:rPr>
          <w:rStyle w:val="Appelnotedebasdep"/>
        </w:rPr>
        <w:footnoteRef/>
      </w:r>
      <w:r>
        <w:t xml:space="preserve"> </w:t>
      </w:r>
    </w:p>
  </w:footnote>
  <w:footnote w:id="28">
    <w:p w:rsidR="001C61F9" w:rsidRPr="00C010B9" w:rsidRDefault="001C61F9" w:rsidP="001C61F9">
      <w:pPr>
        <w:pStyle w:val="Notedebasdepage"/>
        <w:jc w:val="right"/>
        <w:rPr>
          <w:rFonts w:ascii="Simplified Arabic" w:hAnsi="Simplified Arabic" w:cs="Simplified Arabic"/>
          <w:sz w:val="22"/>
          <w:szCs w:val="22"/>
          <w:rtl/>
        </w:rPr>
      </w:pPr>
      <w:r>
        <w:rPr>
          <w:rFonts w:hint="cs"/>
          <w:rtl/>
        </w:rPr>
        <w:t xml:space="preserve"> </w:t>
      </w:r>
      <w:r w:rsidRPr="00C010B9">
        <w:rPr>
          <w:rFonts w:ascii="Simplified Arabic" w:hAnsi="Simplified Arabic" w:cs="Simplified Arabic"/>
          <w:sz w:val="22"/>
          <w:szCs w:val="22"/>
          <w:rtl/>
        </w:rPr>
        <w:t xml:space="preserve">محمد </w:t>
      </w:r>
      <w:proofErr w:type="spellStart"/>
      <w:r w:rsidRPr="00C010B9">
        <w:rPr>
          <w:rFonts w:ascii="Simplified Arabic" w:hAnsi="Simplified Arabic" w:cs="Simplified Arabic"/>
          <w:sz w:val="22"/>
          <w:szCs w:val="22"/>
          <w:rtl/>
        </w:rPr>
        <w:t>محمد</w:t>
      </w:r>
      <w:proofErr w:type="spellEnd"/>
      <w:r w:rsidRPr="00C010B9">
        <w:rPr>
          <w:rFonts w:ascii="Simplified Arabic" w:hAnsi="Simplified Arabic" w:cs="Simplified Arabic"/>
          <w:sz w:val="22"/>
          <w:szCs w:val="22"/>
          <w:rtl/>
        </w:rPr>
        <w:t xml:space="preserve"> </w:t>
      </w:r>
      <w:proofErr w:type="gramStart"/>
      <w:r w:rsidRPr="00C010B9">
        <w:rPr>
          <w:rFonts w:ascii="Simplified Arabic" w:hAnsi="Simplified Arabic" w:cs="Simplified Arabic"/>
          <w:sz w:val="22"/>
          <w:szCs w:val="22"/>
          <w:rtl/>
        </w:rPr>
        <w:t>بدران ،</w:t>
      </w:r>
      <w:proofErr w:type="gramEnd"/>
      <w:r w:rsidRPr="00C010B9">
        <w:rPr>
          <w:rFonts w:ascii="Simplified Arabic" w:hAnsi="Simplified Arabic" w:cs="Simplified Arabic"/>
          <w:sz w:val="22"/>
          <w:szCs w:val="22"/>
          <w:rtl/>
        </w:rPr>
        <w:t xml:space="preserve"> المرجع السابق، ص 54.</w:t>
      </w:r>
      <w:r w:rsidRPr="00C010B9">
        <w:rPr>
          <w:rStyle w:val="Appelnotedebasdep"/>
          <w:rFonts w:ascii="Simplified Arabic" w:hAnsi="Simplified Arabic" w:cs="Simplified Arabic"/>
          <w:sz w:val="22"/>
          <w:szCs w:val="22"/>
        </w:rPr>
        <w:footnoteRef/>
      </w:r>
      <w:r w:rsidRPr="00C010B9">
        <w:rPr>
          <w:rFonts w:ascii="Simplified Arabic" w:hAnsi="Simplified Arabic" w:cs="Simplified Arabic"/>
          <w:sz w:val="22"/>
          <w:szCs w:val="22"/>
        </w:rPr>
        <w:t xml:space="preserve"> </w:t>
      </w:r>
      <w:r w:rsidRPr="00C010B9">
        <w:rPr>
          <w:rFonts w:ascii="Simplified Arabic" w:hAnsi="Simplified Arabic" w:cs="Simplified Arabic"/>
          <w:sz w:val="22"/>
          <w:szCs w:val="22"/>
          <w:rtl/>
        </w:rPr>
        <w:t xml:space="preserve"> </w:t>
      </w:r>
    </w:p>
  </w:footnote>
  <w:footnote w:id="29">
    <w:p w:rsidR="001C61F9" w:rsidRPr="00C70E07" w:rsidRDefault="001C61F9" w:rsidP="001C61F9">
      <w:pPr>
        <w:pStyle w:val="Notedebasdepage"/>
        <w:jc w:val="right"/>
        <w:rPr>
          <w:rtl/>
        </w:rPr>
      </w:pPr>
      <w:r w:rsidRPr="003C7680">
        <w:rPr>
          <w:rFonts w:ascii="Simplified Arabic" w:hAnsi="Simplified Arabic" w:cs="Simplified Arabic" w:hint="cs"/>
          <w:sz w:val="22"/>
          <w:szCs w:val="22"/>
          <w:vertAlign w:val="superscript"/>
          <w:rtl/>
        </w:rPr>
        <w:t>27</w:t>
      </w:r>
      <w:r w:rsidRPr="00C010B9">
        <w:rPr>
          <w:rFonts w:ascii="Simplified Arabic" w:hAnsi="Simplified Arabic" w:cs="Simplified Arabic"/>
          <w:sz w:val="22"/>
          <w:szCs w:val="22"/>
          <w:rtl/>
        </w:rPr>
        <w:t xml:space="preserve">عمار </w:t>
      </w:r>
      <w:proofErr w:type="spellStart"/>
      <w:r w:rsidRPr="00C010B9">
        <w:rPr>
          <w:rFonts w:ascii="Simplified Arabic" w:hAnsi="Simplified Arabic" w:cs="Simplified Arabic"/>
          <w:sz w:val="22"/>
          <w:szCs w:val="22"/>
          <w:rtl/>
        </w:rPr>
        <w:t>عوابدي</w:t>
      </w:r>
      <w:proofErr w:type="spellEnd"/>
      <w:r w:rsidRPr="00C010B9">
        <w:rPr>
          <w:rFonts w:ascii="Simplified Arabic" w:hAnsi="Simplified Arabic" w:cs="Simplified Arabic"/>
          <w:sz w:val="22"/>
          <w:szCs w:val="22"/>
          <w:rtl/>
        </w:rPr>
        <w:t>،</w:t>
      </w:r>
      <w:r>
        <w:rPr>
          <w:rFonts w:ascii="Simplified Arabic" w:hAnsi="Simplified Arabic" w:cs="Simplified Arabic" w:hint="cs"/>
          <w:sz w:val="22"/>
          <w:szCs w:val="22"/>
          <w:rtl/>
        </w:rPr>
        <w:t xml:space="preserve"> عملية</w:t>
      </w:r>
      <w:r w:rsidRPr="00C010B9">
        <w:rPr>
          <w:rFonts w:ascii="Simplified Arabic" w:hAnsi="Simplified Arabic" w:cs="Simplified Arabic"/>
          <w:sz w:val="22"/>
          <w:szCs w:val="22"/>
          <w:rtl/>
        </w:rPr>
        <w:t xml:space="preserve"> الرقابة القضائية على أعمال الإدارة العامة</w:t>
      </w:r>
      <w:r>
        <w:rPr>
          <w:rFonts w:ascii="Simplified Arabic" w:hAnsi="Simplified Arabic" w:cs="Simplified Arabic" w:hint="cs"/>
          <w:sz w:val="22"/>
          <w:szCs w:val="22"/>
          <w:rtl/>
        </w:rPr>
        <w:t xml:space="preserve"> في النظام الجزائري</w:t>
      </w:r>
      <w:r w:rsidRPr="00C010B9">
        <w:rPr>
          <w:rFonts w:ascii="Simplified Arabic" w:hAnsi="Simplified Arabic" w:cs="Simplified Arabic"/>
          <w:sz w:val="22"/>
          <w:szCs w:val="22"/>
          <w:rtl/>
        </w:rPr>
        <w:t>،</w:t>
      </w:r>
      <w:r>
        <w:rPr>
          <w:rFonts w:ascii="Simplified Arabic" w:hAnsi="Simplified Arabic" w:cs="Simplified Arabic" w:hint="cs"/>
          <w:sz w:val="22"/>
          <w:szCs w:val="22"/>
          <w:rtl/>
        </w:rPr>
        <w:t xml:space="preserve"> ط</w:t>
      </w:r>
      <w:proofErr w:type="gramStart"/>
      <w:r>
        <w:rPr>
          <w:rFonts w:ascii="Simplified Arabic" w:hAnsi="Simplified Arabic" w:cs="Simplified Arabic" w:hint="cs"/>
          <w:sz w:val="22"/>
          <w:szCs w:val="22"/>
          <w:rtl/>
        </w:rPr>
        <w:t>3 ،</w:t>
      </w:r>
      <w:proofErr w:type="gramEnd"/>
      <w:r>
        <w:rPr>
          <w:rFonts w:ascii="Simplified Arabic" w:hAnsi="Simplified Arabic" w:cs="Simplified Arabic" w:hint="cs"/>
          <w:sz w:val="22"/>
          <w:szCs w:val="22"/>
          <w:rtl/>
        </w:rPr>
        <w:t xml:space="preserve"> د . </w:t>
      </w:r>
      <w:proofErr w:type="gramStart"/>
      <w:r>
        <w:rPr>
          <w:rFonts w:ascii="Simplified Arabic" w:hAnsi="Simplified Arabic" w:cs="Simplified Arabic" w:hint="cs"/>
          <w:sz w:val="22"/>
          <w:szCs w:val="22"/>
          <w:rtl/>
        </w:rPr>
        <w:t>م .ج</w:t>
      </w:r>
      <w:proofErr w:type="gramEnd"/>
      <w:r>
        <w:rPr>
          <w:rFonts w:ascii="Simplified Arabic" w:hAnsi="Simplified Arabic" w:cs="Simplified Arabic" w:hint="cs"/>
          <w:sz w:val="22"/>
          <w:szCs w:val="22"/>
          <w:rtl/>
        </w:rPr>
        <w:t xml:space="preserve"> ، الجزائر، 1994،</w:t>
      </w:r>
      <w:r w:rsidRPr="00C010B9">
        <w:rPr>
          <w:rFonts w:ascii="Simplified Arabic" w:hAnsi="Simplified Arabic" w:cs="Simplified Arabic"/>
          <w:sz w:val="22"/>
          <w:szCs w:val="22"/>
          <w:rtl/>
        </w:rPr>
        <w:t xml:space="preserve"> ص 24 وما بعدها.</w:t>
      </w:r>
      <w:r>
        <w:rPr>
          <w:rStyle w:val="Appelnotedebasdep"/>
          <w:rFonts w:hint="cs"/>
          <w:rtl/>
        </w:rPr>
        <w:t xml:space="preserve"> </w:t>
      </w:r>
      <w:r>
        <w:t xml:space="preserve"> </w:t>
      </w:r>
      <w:r>
        <w:rPr>
          <w:rFonts w:hint="cs"/>
          <w:rtl/>
        </w:rPr>
        <w:t xml:space="preserve"> </w:t>
      </w:r>
    </w:p>
  </w:footnote>
  <w:footnote w:id="30">
    <w:p w:rsidR="001C61F9" w:rsidRPr="006960F3" w:rsidRDefault="001C61F9" w:rsidP="001C61F9">
      <w:pPr>
        <w:pStyle w:val="Notedebasdepage"/>
        <w:jc w:val="right"/>
        <w:rPr>
          <w:sz w:val="22"/>
          <w:szCs w:val="22"/>
          <w:rtl/>
        </w:rPr>
      </w:pPr>
      <w:r w:rsidRPr="003C7680">
        <w:rPr>
          <w:rFonts w:hint="cs"/>
          <w:vertAlign w:val="superscript"/>
          <w:rtl/>
        </w:rPr>
        <w:t>28</w:t>
      </w:r>
      <w:r>
        <w:rPr>
          <w:rFonts w:hint="cs"/>
          <w:rtl/>
        </w:rPr>
        <w:t xml:space="preserve"> </w:t>
      </w:r>
      <w:r w:rsidRPr="00AA2D80">
        <w:rPr>
          <w:rFonts w:ascii="Simplified Arabic" w:hAnsi="Simplified Arabic" w:cs="Simplified Arabic"/>
          <w:sz w:val="22"/>
          <w:szCs w:val="22"/>
          <w:rtl/>
        </w:rPr>
        <w:t xml:space="preserve">سعد علي البشير، تسبيب </w:t>
      </w:r>
      <w:r w:rsidRPr="00AA2D80">
        <w:rPr>
          <w:rFonts w:ascii="Simplified Arabic" w:hAnsi="Simplified Arabic" w:cs="Simplified Arabic" w:hint="cs"/>
          <w:sz w:val="22"/>
          <w:szCs w:val="22"/>
          <w:rtl/>
        </w:rPr>
        <w:t xml:space="preserve">القرارات </w:t>
      </w:r>
      <w:proofErr w:type="gramStart"/>
      <w:r w:rsidRPr="00AA2D80">
        <w:rPr>
          <w:rFonts w:ascii="Simplified Arabic" w:hAnsi="Simplified Arabic" w:cs="Simplified Arabic" w:hint="cs"/>
          <w:sz w:val="22"/>
          <w:szCs w:val="22"/>
          <w:rtl/>
        </w:rPr>
        <w:t>الإدارية</w:t>
      </w:r>
      <w:r w:rsidRPr="00AA2D80">
        <w:rPr>
          <w:rFonts w:ascii="Simplified Arabic" w:hAnsi="Simplified Arabic" w:cs="Simplified Arabic"/>
          <w:sz w:val="22"/>
          <w:szCs w:val="22"/>
          <w:rtl/>
        </w:rPr>
        <w:t xml:space="preserve"> </w:t>
      </w:r>
      <w:r>
        <w:rPr>
          <w:rFonts w:ascii="Simplified Arabic" w:hAnsi="Simplified Arabic" w:cs="Simplified Arabic" w:hint="cs"/>
          <w:sz w:val="22"/>
          <w:szCs w:val="22"/>
          <w:rtl/>
        </w:rPr>
        <w:t>،</w:t>
      </w:r>
      <w:proofErr w:type="gramEnd"/>
      <w:r>
        <w:rPr>
          <w:rFonts w:ascii="Simplified Arabic" w:hAnsi="Simplified Arabic" w:cs="Simplified Arabic" w:hint="cs"/>
          <w:sz w:val="22"/>
          <w:szCs w:val="22"/>
          <w:rtl/>
        </w:rPr>
        <w:t xml:space="preserve"> دراسة </w:t>
      </w:r>
      <w:r w:rsidRPr="00AA2D80">
        <w:rPr>
          <w:rFonts w:ascii="Simplified Arabic" w:hAnsi="Simplified Arabic" w:cs="Simplified Arabic"/>
          <w:sz w:val="22"/>
          <w:szCs w:val="22"/>
          <w:rtl/>
        </w:rPr>
        <w:t>مقارنة ،</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 xml:space="preserve">مجلة الحقوق والعلوم </w:t>
      </w:r>
      <w:r w:rsidRPr="00AA2D80">
        <w:rPr>
          <w:rFonts w:ascii="Simplified Arabic" w:hAnsi="Simplified Arabic" w:cs="Simplified Arabic" w:hint="cs"/>
          <w:sz w:val="22"/>
          <w:szCs w:val="22"/>
          <w:rtl/>
        </w:rPr>
        <w:t>الإنسانية</w:t>
      </w:r>
      <w:r w:rsidRPr="00AA2D80">
        <w:rPr>
          <w:rFonts w:ascii="Simplified Arabic" w:hAnsi="Simplified Arabic" w:cs="Simplified Arabic"/>
          <w:sz w:val="22"/>
          <w:szCs w:val="22"/>
          <w:rtl/>
        </w:rPr>
        <w:t xml:space="preserve"> ،جامعة الجلفة ،</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الجزائر، العدد27، سنة 20</w:t>
      </w:r>
      <w:r w:rsidRPr="00AA2D80">
        <w:rPr>
          <w:rFonts w:ascii="Simplified Arabic" w:hAnsi="Simplified Arabic" w:cs="Simplified Arabic" w:hint="cs"/>
          <w:sz w:val="22"/>
          <w:szCs w:val="22"/>
          <w:rtl/>
        </w:rPr>
        <w:t>1</w:t>
      </w:r>
      <w:r w:rsidRPr="00AA2D80">
        <w:rPr>
          <w:rFonts w:ascii="Simplified Arabic" w:hAnsi="Simplified Arabic" w:cs="Simplified Arabic"/>
          <w:sz w:val="22"/>
          <w:szCs w:val="22"/>
          <w:rtl/>
        </w:rPr>
        <w:t>6</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w:t>
      </w:r>
      <w:r>
        <w:rPr>
          <w:rFonts w:ascii="Simplified Arabic" w:hAnsi="Simplified Arabic" w:cs="Simplified Arabic" w:hint="cs"/>
          <w:sz w:val="22"/>
          <w:szCs w:val="22"/>
          <w:rtl/>
        </w:rPr>
        <w:t xml:space="preserve"> </w:t>
      </w:r>
      <w:r w:rsidRPr="00AA2D80">
        <w:rPr>
          <w:rFonts w:ascii="Simplified Arabic" w:hAnsi="Simplified Arabic" w:cs="Simplified Arabic"/>
          <w:sz w:val="22"/>
          <w:szCs w:val="22"/>
          <w:rtl/>
        </w:rPr>
        <w:t>ص3</w:t>
      </w:r>
      <w:r w:rsidRPr="00AA2D80">
        <w:rPr>
          <w:rFonts w:ascii="Simplified Arabic" w:hAnsi="Simplified Arabic" w:cs="Simplified Arabic" w:hint="cs"/>
          <w:sz w:val="22"/>
          <w:szCs w:val="22"/>
          <w:rtl/>
        </w:rPr>
        <w:t>5</w:t>
      </w:r>
      <w:r>
        <w:rPr>
          <w:rFonts w:ascii="Simplified Arabic" w:hAnsi="Simplified Arabic" w:cs="Simplified Arabic" w:hint="cs"/>
          <w:sz w:val="22"/>
          <w:szCs w:val="22"/>
          <w:rtl/>
        </w:rPr>
        <w:t>.</w:t>
      </w:r>
      <w:r>
        <w:rPr>
          <w:rStyle w:val="Appelnotedebasdep"/>
          <w:rFonts w:hint="cs"/>
          <w:rtl/>
        </w:rPr>
        <w:t xml:space="preserve"> </w:t>
      </w:r>
    </w:p>
  </w:footnote>
  <w:footnote w:id="31">
    <w:p w:rsidR="001C61F9" w:rsidRPr="00F451B5" w:rsidRDefault="001C61F9" w:rsidP="001C61F9">
      <w:pPr>
        <w:pStyle w:val="Notedebasdepage"/>
        <w:jc w:val="right"/>
        <w:rPr>
          <w:rtl/>
        </w:rPr>
      </w:pPr>
      <w:r w:rsidRPr="00940A30">
        <w:rPr>
          <w:rFonts w:hint="cs"/>
          <w:sz w:val="22"/>
          <w:szCs w:val="22"/>
          <w:rtl/>
        </w:rPr>
        <w:t xml:space="preserve"> </w:t>
      </w:r>
      <w:proofErr w:type="spellStart"/>
      <w:r w:rsidRPr="00940A30">
        <w:rPr>
          <w:rFonts w:ascii="Simplified Arabic" w:hAnsi="Simplified Arabic" w:cs="Simplified Arabic"/>
          <w:sz w:val="22"/>
          <w:szCs w:val="22"/>
          <w:rtl/>
        </w:rPr>
        <w:t>بوحميدة</w:t>
      </w:r>
      <w:proofErr w:type="spellEnd"/>
      <w:r w:rsidRPr="00940A30">
        <w:rPr>
          <w:rFonts w:ascii="Simplified Arabic" w:hAnsi="Simplified Arabic" w:cs="Simplified Arabic"/>
          <w:sz w:val="22"/>
          <w:szCs w:val="22"/>
          <w:rtl/>
        </w:rPr>
        <w:t xml:space="preserve"> عطاء الله، الوجيز في القضاء الإداري، تنظيم عمل واختصاص، دار هومة للنشر والتوزيع، الجزائر، 2011، ص15</w:t>
      </w:r>
      <w:r w:rsidRPr="00940A30">
        <w:rPr>
          <w:rFonts w:ascii="Simplified Arabic" w:hAnsi="Simplified Arabic" w:cs="Simplified Arabic"/>
          <w:sz w:val="28"/>
          <w:szCs w:val="28"/>
          <w:rtl/>
        </w:rPr>
        <w:t>.</w:t>
      </w:r>
      <w:r>
        <w:rPr>
          <w:rStyle w:val="Appelnotedebasdep"/>
        </w:rPr>
        <w:footnoteRef/>
      </w:r>
      <w:r>
        <w:t xml:space="preserve"> </w:t>
      </w:r>
    </w:p>
  </w:footnote>
  <w:footnote w:id="32">
    <w:p w:rsidR="001C61F9" w:rsidRPr="00C524EE"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Pr>
          <w:rFonts w:hint="cs"/>
          <w:rtl/>
        </w:rPr>
        <w:t xml:space="preserve"> </w:t>
      </w:r>
      <w:r w:rsidRPr="00C524EE">
        <w:rPr>
          <w:rFonts w:ascii="Simplified Arabic" w:hAnsi="Simplified Arabic" w:cs="Simplified Arabic"/>
          <w:sz w:val="22"/>
          <w:szCs w:val="22"/>
          <w:rtl/>
        </w:rPr>
        <w:t xml:space="preserve">مسعود شيهوب، المبادئ العامة للمنازعات </w:t>
      </w:r>
      <w:r w:rsidRPr="00C524EE">
        <w:rPr>
          <w:rFonts w:ascii="Simplified Arabic" w:hAnsi="Simplified Arabic" w:cs="Simplified Arabic" w:hint="cs"/>
          <w:sz w:val="22"/>
          <w:szCs w:val="22"/>
          <w:rtl/>
        </w:rPr>
        <w:t>الإدارية</w:t>
      </w:r>
      <w:r w:rsidRPr="00C524EE">
        <w:rPr>
          <w:rFonts w:ascii="Simplified Arabic" w:hAnsi="Simplified Arabic" w:cs="Simplified Arabic"/>
          <w:sz w:val="22"/>
          <w:szCs w:val="22"/>
          <w:rtl/>
        </w:rPr>
        <w:t xml:space="preserve">، الجزء </w:t>
      </w:r>
      <w:r w:rsidRPr="00C524EE">
        <w:rPr>
          <w:rFonts w:ascii="Simplified Arabic" w:hAnsi="Simplified Arabic" w:cs="Simplified Arabic" w:hint="cs"/>
          <w:sz w:val="22"/>
          <w:szCs w:val="22"/>
          <w:rtl/>
        </w:rPr>
        <w:t>الأول</w:t>
      </w:r>
      <w:r w:rsidRPr="00C524EE">
        <w:rPr>
          <w:rFonts w:ascii="Simplified Arabic" w:hAnsi="Simplified Arabic" w:cs="Simplified Arabic"/>
          <w:sz w:val="22"/>
          <w:szCs w:val="22"/>
          <w:rtl/>
        </w:rPr>
        <w:t xml:space="preserve">، الهيئات </w:t>
      </w:r>
      <w:r w:rsidRPr="00C524EE">
        <w:rPr>
          <w:rFonts w:ascii="Simplified Arabic" w:hAnsi="Simplified Arabic" w:cs="Simplified Arabic" w:hint="cs"/>
          <w:sz w:val="22"/>
          <w:szCs w:val="22"/>
          <w:rtl/>
        </w:rPr>
        <w:t>والإجراءات</w:t>
      </w:r>
      <w:r w:rsidRPr="00C524EE">
        <w:rPr>
          <w:rFonts w:ascii="Simplified Arabic" w:hAnsi="Simplified Arabic" w:cs="Simplified Arabic"/>
          <w:sz w:val="22"/>
          <w:szCs w:val="22"/>
          <w:rtl/>
        </w:rPr>
        <w:t xml:space="preserve">، ديوان المطبوعات الجامعية، الجزائر، ص </w:t>
      </w:r>
      <w:proofErr w:type="spellStart"/>
      <w:r w:rsidRPr="00C524EE">
        <w:rPr>
          <w:rFonts w:ascii="Simplified Arabic" w:hAnsi="Simplified Arabic" w:cs="Simplified Arabic"/>
          <w:sz w:val="22"/>
          <w:szCs w:val="22"/>
          <w:rtl/>
        </w:rPr>
        <w:t>ص</w:t>
      </w:r>
      <w:proofErr w:type="spellEnd"/>
      <w:r w:rsidRPr="00C524EE">
        <w:rPr>
          <w:rFonts w:ascii="Simplified Arabic" w:hAnsi="Simplified Arabic" w:cs="Simplified Arabic"/>
          <w:sz w:val="22"/>
          <w:szCs w:val="22"/>
          <w:rtl/>
        </w:rPr>
        <w:t xml:space="preserve">، </w:t>
      </w:r>
      <w:r w:rsidRPr="00C524EE">
        <w:rPr>
          <w:rFonts w:ascii="Simplified Arabic" w:hAnsi="Simplified Arabic" w:cs="Simplified Arabic"/>
          <w:sz w:val="22"/>
          <w:szCs w:val="22"/>
        </w:rPr>
        <w:t>.70-65</w:t>
      </w:r>
    </w:p>
  </w:footnote>
  <w:footnote w:id="33">
    <w:p w:rsidR="001C61F9" w:rsidRPr="00DF068D" w:rsidRDefault="001C61F9" w:rsidP="001C61F9">
      <w:pPr>
        <w:pStyle w:val="Notedebasdepage"/>
        <w:jc w:val="right"/>
        <w:rPr>
          <w:rtl/>
        </w:rPr>
      </w:pPr>
      <w:proofErr w:type="gramStart"/>
      <w:r>
        <w:rPr>
          <w:rFonts w:hint="cs"/>
          <w:vertAlign w:val="superscript"/>
          <w:rtl/>
        </w:rPr>
        <w:t xml:space="preserve">31  </w:t>
      </w:r>
      <w:r w:rsidRPr="00C7721D">
        <w:rPr>
          <w:rFonts w:ascii="Simplified Arabic" w:hAnsi="Simplified Arabic" w:cs="Simplified Arabic"/>
          <w:sz w:val="22"/>
          <w:szCs w:val="22"/>
          <w:rtl/>
        </w:rPr>
        <w:t>لتفاصيل</w:t>
      </w:r>
      <w:proofErr w:type="gramEnd"/>
      <w:r w:rsidRPr="00C7721D">
        <w:rPr>
          <w:rFonts w:ascii="Simplified Arabic" w:hAnsi="Simplified Arabic" w:cs="Simplified Arabic"/>
          <w:sz w:val="22"/>
          <w:szCs w:val="22"/>
          <w:rtl/>
        </w:rPr>
        <w:t xml:space="preserve"> أكثر حول نظام الازدواجية القضائية يراجع: </w:t>
      </w:r>
      <w:r w:rsidRPr="00C7721D">
        <w:rPr>
          <w:rFonts w:ascii="Simplified Arabic" w:hAnsi="Simplified Arabic" w:cs="Simplified Arabic"/>
          <w:sz w:val="22"/>
          <w:szCs w:val="22"/>
          <w:rtl/>
        </w:rPr>
        <w:noBreakHyphen/>
        <w:t xml:space="preserve"> عادل عمران، دروس في المنازعات الإدارية، دراسة تحليلية نقدية و مقارنة، دار الهدى، عين مليلة، الجزائر، 2014 ،</w:t>
      </w:r>
      <w:r>
        <w:rPr>
          <w:rFonts w:ascii="Simplified Arabic" w:hAnsi="Simplified Arabic" w:cs="Simplified Arabic" w:hint="cs"/>
          <w:sz w:val="22"/>
          <w:szCs w:val="22"/>
          <w:rtl/>
        </w:rPr>
        <w:t xml:space="preserve"> </w:t>
      </w:r>
      <w:r w:rsidRPr="00C7721D">
        <w:rPr>
          <w:rFonts w:ascii="Simplified Arabic" w:hAnsi="Simplified Arabic" w:cs="Simplified Arabic"/>
          <w:sz w:val="22"/>
          <w:szCs w:val="22"/>
          <w:rtl/>
        </w:rPr>
        <w:t xml:space="preserve">ص </w:t>
      </w:r>
      <w:proofErr w:type="spellStart"/>
      <w:r w:rsidRPr="00C7721D">
        <w:rPr>
          <w:rFonts w:ascii="Simplified Arabic" w:hAnsi="Simplified Arabic" w:cs="Simplified Arabic"/>
          <w:sz w:val="22"/>
          <w:szCs w:val="22"/>
          <w:rtl/>
        </w:rPr>
        <w:t>ص</w:t>
      </w:r>
      <w:proofErr w:type="spellEnd"/>
      <w:r w:rsidRPr="00C7721D">
        <w:rPr>
          <w:rFonts w:ascii="Simplified Arabic" w:hAnsi="Simplified Arabic" w:cs="Simplified Arabic"/>
          <w:sz w:val="22"/>
          <w:szCs w:val="22"/>
          <w:rtl/>
        </w:rPr>
        <w:t xml:space="preserve"> 24-39</w:t>
      </w:r>
      <w:r>
        <w:rPr>
          <w:rFonts w:hint="cs"/>
          <w:rtl/>
        </w:rPr>
        <w:t xml:space="preserve"> .</w:t>
      </w:r>
      <w:r>
        <w:t xml:space="preserve"> </w:t>
      </w:r>
    </w:p>
  </w:footnote>
  <w:footnote w:id="34">
    <w:p w:rsidR="001C61F9" w:rsidRPr="003B27DB" w:rsidRDefault="001C61F9" w:rsidP="001C61F9">
      <w:pPr>
        <w:pStyle w:val="Notedebasdepage"/>
        <w:bidi/>
        <w:rPr>
          <w:rFonts w:ascii="Simplified Arabic" w:hAnsi="Simplified Arabic" w:cs="Simplified Arabic"/>
          <w:sz w:val="28"/>
          <w:szCs w:val="28"/>
          <w:rtl/>
        </w:rPr>
      </w:pPr>
      <w:r>
        <w:rPr>
          <w:rStyle w:val="Appelnotedebasdep"/>
        </w:rPr>
        <w:footnoteRef/>
      </w:r>
      <w:r>
        <w:t xml:space="preserve"> </w:t>
      </w:r>
      <w:r>
        <w:rPr>
          <w:rFonts w:hint="cs"/>
          <w:rtl/>
        </w:rPr>
        <w:t xml:space="preserve"> </w:t>
      </w:r>
      <w:r w:rsidRPr="003B27DB">
        <w:rPr>
          <w:rFonts w:ascii="Simplified Arabic" w:hAnsi="Simplified Arabic" w:cs="Simplified Arabic"/>
          <w:sz w:val="22"/>
          <w:szCs w:val="22"/>
          <w:rtl/>
        </w:rPr>
        <w:t xml:space="preserve">للتفصيل أكثر أنظر: محمد </w:t>
      </w:r>
      <w:proofErr w:type="spellStart"/>
      <w:r w:rsidRPr="003B27DB">
        <w:rPr>
          <w:rFonts w:ascii="Simplified Arabic" w:hAnsi="Simplified Arabic" w:cs="Simplified Arabic"/>
          <w:sz w:val="22"/>
          <w:szCs w:val="22"/>
          <w:rtl/>
        </w:rPr>
        <w:t>محمد</w:t>
      </w:r>
      <w:proofErr w:type="spellEnd"/>
      <w:r w:rsidRPr="003B27DB">
        <w:rPr>
          <w:rFonts w:ascii="Simplified Arabic" w:hAnsi="Simplified Arabic" w:cs="Simplified Arabic"/>
          <w:sz w:val="22"/>
          <w:szCs w:val="22"/>
          <w:rtl/>
        </w:rPr>
        <w:t xml:space="preserve"> بدران، المرجع </w:t>
      </w:r>
      <w:proofErr w:type="gramStart"/>
      <w:r w:rsidRPr="003B27DB">
        <w:rPr>
          <w:rFonts w:ascii="Simplified Arabic" w:hAnsi="Simplified Arabic" w:cs="Simplified Arabic"/>
          <w:sz w:val="22"/>
          <w:szCs w:val="22"/>
          <w:rtl/>
        </w:rPr>
        <w:t>السابق ،</w:t>
      </w:r>
      <w:proofErr w:type="gramEnd"/>
      <w:r w:rsidRPr="003B27DB">
        <w:rPr>
          <w:rFonts w:ascii="Simplified Arabic" w:hAnsi="Simplified Arabic" w:cs="Simplified Arabic"/>
          <w:sz w:val="22"/>
          <w:szCs w:val="22"/>
          <w:rtl/>
        </w:rPr>
        <w:t xml:space="preserve"> ص 64 وما بعدها</w:t>
      </w:r>
      <w:r w:rsidRPr="003B27DB">
        <w:rPr>
          <w:rFonts w:ascii="Simplified Arabic" w:hAnsi="Simplified Arabic" w:cs="Simplified Arabic"/>
          <w:sz w:val="22"/>
          <w:szCs w:val="22"/>
          <w:rtl/>
        </w:rPr>
        <w:noBreakHyphen/>
        <w:t xml:space="preserve"> سامي جمال الدين الرقابة القضائية على أعمال الإدارة ، </w:t>
      </w:r>
      <w:r>
        <w:rPr>
          <w:rFonts w:ascii="Simplified Arabic" w:hAnsi="Simplified Arabic" w:cs="Simplified Arabic" w:hint="cs"/>
          <w:sz w:val="22"/>
          <w:szCs w:val="22"/>
          <w:rtl/>
        </w:rPr>
        <w:t xml:space="preserve"> دار المطبوعات الجامعية ، 1998 ، </w:t>
      </w:r>
      <w:r w:rsidRPr="003B27DB">
        <w:rPr>
          <w:rFonts w:ascii="Simplified Arabic" w:hAnsi="Simplified Arabic" w:cs="Simplified Arabic"/>
          <w:sz w:val="22"/>
          <w:szCs w:val="22"/>
          <w:rtl/>
        </w:rPr>
        <w:t>ص 264 وما بعدها.</w:t>
      </w:r>
    </w:p>
  </w:footnote>
  <w:footnote w:id="35">
    <w:p w:rsidR="001C61F9" w:rsidRPr="00551265" w:rsidRDefault="001C61F9" w:rsidP="001C61F9">
      <w:pPr>
        <w:pStyle w:val="Notedebasdepage"/>
        <w:jc w:val="right"/>
        <w:rPr>
          <w:rFonts w:ascii="Simplified Arabic" w:hAnsi="Simplified Arabic" w:cs="Simplified Arabic"/>
          <w:sz w:val="22"/>
          <w:szCs w:val="22"/>
          <w:rtl/>
        </w:rPr>
      </w:pPr>
      <w:r w:rsidRPr="00A5713F">
        <w:rPr>
          <w:rFonts w:hint="cs"/>
          <w:vertAlign w:val="superscript"/>
          <w:rtl/>
        </w:rPr>
        <w:t>33</w:t>
      </w:r>
      <w:r>
        <w:rPr>
          <w:rFonts w:hint="cs"/>
          <w:rtl/>
        </w:rPr>
        <w:t xml:space="preserve"> </w:t>
      </w:r>
      <w:r w:rsidRPr="00551265">
        <w:rPr>
          <w:rFonts w:ascii="Simplified Arabic" w:hAnsi="Simplified Arabic" w:cs="Simplified Arabic"/>
          <w:sz w:val="22"/>
          <w:szCs w:val="22"/>
          <w:rtl/>
        </w:rPr>
        <w:t xml:space="preserve">عمار </w:t>
      </w:r>
      <w:proofErr w:type="gramStart"/>
      <w:r w:rsidRPr="00551265">
        <w:rPr>
          <w:rFonts w:ascii="Simplified Arabic" w:hAnsi="Simplified Arabic" w:cs="Simplified Arabic"/>
          <w:sz w:val="22"/>
          <w:szCs w:val="22"/>
          <w:rtl/>
        </w:rPr>
        <w:t>بوضياف ،</w:t>
      </w:r>
      <w:proofErr w:type="gramEnd"/>
      <w:r w:rsidRPr="00551265">
        <w:rPr>
          <w:rFonts w:ascii="Simplified Arabic" w:hAnsi="Simplified Arabic" w:cs="Simplified Arabic"/>
          <w:sz w:val="22"/>
          <w:szCs w:val="22"/>
          <w:rtl/>
        </w:rPr>
        <w:t xml:space="preserve"> القضاء الإداري في الجزائر بين نظام الوحدة والازدواجية ،</w:t>
      </w:r>
      <w:r>
        <w:rPr>
          <w:rFonts w:ascii="Simplified Arabic" w:hAnsi="Simplified Arabic" w:cs="Simplified Arabic" w:hint="cs"/>
          <w:sz w:val="22"/>
          <w:szCs w:val="22"/>
          <w:rtl/>
        </w:rPr>
        <w:t xml:space="preserve"> </w:t>
      </w:r>
      <w:r w:rsidRPr="00A5713F">
        <w:rPr>
          <w:rFonts w:ascii="Simplified Arabic" w:hAnsi="Simplified Arabic" w:cs="Simplified Arabic"/>
          <w:sz w:val="22"/>
          <w:szCs w:val="22"/>
          <w:rtl/>
        </w:rPr>
        <w:t>(</w:t>
      </w:r>
      <w:r w:rsidRPr="00A5713F">
        <w:rPr>
          <w:rFonts w:ascii="Simplified Arabic" w:hAnsi="Simplified Arabic" w:cs="Simplified Arabic" w:hint="cs"/>
          <w:sz w:val="24"/>
          <w:szCs w:val="24"/>
          <w:rtl/>
        </w:rPr>
        <w:t>1962</w:t>
      </w:r>
      <w:r w:rsidRPr="00A5713F">
        <w:rPr>
          <w:rFonts w:ascii="Simplified Arabic" w:hAnsi="Simplified Arabic" w:cs="Simplified Arabic"/>
          <w:sz w:val="22"/>
          <w:szCs w:val="22"/>
          <w:rtl/>
        </w:rPr>
        <w:noBreakHyphen/>
      </w:r>
      <w:r w:rsidRPr="00A5713F">
        <w:rPr>
          <w:rFonts w:ascii="Simplified Arabic" w:hAnsi="Simplified Arabic" w:cs="Simplified Arabic" w:hint="cs"/>
          <w:sz w:val="22"/>
          <w:szCs w:val="22"/>
          <w:rtl/>
        </w:rPr>
        <w:t xml:space="preserve"> 2000</w:t>
      </w:r>
      <w:r w:rsidRPr="00A5713F">
        <w:rPr>
          <w:rFonts w:ascii="Simplified Arabic" w:hAnsi="Simplified Arabic" w:cs="Simplified Arabic"/>
          <w:sz w:val="22"/>
          <w:szCs w:val="22"/>
          <w:rtl/>
        </w:rPr>
        <w:t>) ،</w:t>
      </w:r>
      <w:r w:rsidRPr="00A5713F">
        <w:rPr>
          <w:rFonts w:ascii="Simplified Arabic" w:hAnsi="Simplified Arabic" w:cs="Simplified Arabic" w:hint="cs"/>
          <w:sz w:val="22"/>
          <w:szCs w:val="22"/>
          <w:rtl/>
        </w:rPr>
        <w:t xml:space="preserve"> ط1 </w:t>
      </w:r>
      <w:r w:rsidRPr="00A5713F">
        <w:rPr>
          <w:rFonts w:ascii="Simplified Arabic" w:hAnsi="Simplified Arabic" w:cs="Simplified Arabic"/>
          <w:sz w:val="22"/>
          <w:szCs w:val="22"/>
          <w:rtl/>
        </w:rPr>
        <w:t xml:space="preserve"> </w:t>
      </w:r>
      <w:r w:rsidRPr="00A5713F">
        <w:rPr>
          <w:rFonts w:ascii="Simplified Arabic" w:hAnsi="Simplified Arabic" w:cs="Simplified Arabic" w:hint="cs"/>
          <w:sz w:val="22"/>
          <w:szCs w:val="22"/>
          <w:rtl/>
        </w:rPr>
        <w:t>دار الريحانة ، سنة 2003</w:t>
      </w:r>
      <w:r>
        <w:rPr>
          <w:rFonts w:ascii="Simplified Arabic" w:hAnsi="Simplified Arabic" w:cs="Simplified Arabic" w:hint="cs"/>
          <w:sz w:val="32"/>
          <w:szCs w:val="32"/>
          <w:rtl/>
        </w:rPr>
        <w:t xml:space="preserve"> </w:t>
      </w:r>
      <w:r w:rsidRPr="00551265">
        <w:rPr>
          <w:rFonts w:ascii="Simplified Arabic" w:hAnsi="Simplified Arabic" w:cs="Simplified Arabic"/>
          <w:sz w:val="22"/>
          <w:szCs w:val="22"/>
          <w:rtl/>
        </w:rPr>
        <w:t xml:space="preserve"> ص 25. </w:t>
      </w:r>
      <w:r>
        <w:rPr>
          <w:rFonts w:ascii="Simplified Arabic" w:hAnsi="Simplified Arabic" w:cs="Simplified Arabic" w:hint="cs"/>
          <w:sz w:val="22"/>
          <w:szCs w:val="22"/>
          <w:rtl/>
        </w:rPr>
        <w:t xml:space="preserve">  </w:t>
      </w:r>
      <w:r w:rsidRPr="00551265">
        <w:rPr>
          <w:rFonts w:ascii="Simplified Arabic" w:hAnsi="Simplified Arabic" w:cs="Simplified Arabic"/>
          <w:sz w:val="22"/>
          <w:szCs w:val="22"/>
        </w:rPr>
        <w:t xml:space="preserve"> </w:t>
      </w:r>
    </w:p>
  </w:footnote>
  <w:footnote w:id="36">
    <w:p w:rsidR="001C61F9" w:rsidRPr="00551265" w:rsidRDefault="001C61F9" w:rsidP="001C61F9">
      <w:pPr>
        <w:pStyle w:val="Notedebasdepage"/>
        <w:bidi/>
        <w:rPr>
          <w:rFonts w:ascii="Simplified Arabic" w:hAnsi="Simplified Arabic" w:cs="Simplified Arabic"/>
          <w:sz w:val="22"/>
          <w:szCs w:val="22"/>
          <w:rtl/>
        </w:rPr>
      </w:pPr>
      <w:r w:rsidRPr="00551265">
        <w:rPr>
          <w:rStyle w:val="Appelnotedebasdep"/>
          <w:rFonts w:ascii="Simplified Arabic" w:hAnsi="Simplified Arabic" w:cs="Simplified Arabic"/>
          <w:sz w:val="22"/>
          <w:szCs w:val="22"/>
        </w:rPr>
        <w:footnoteRef/>
      </w:r>
      <w:r w:rsidRPr="00551265">
        <w:rPr>
          <w:rFonts w:ascii="Simplified Arabic" w:hAnsi="Simplified Arabic" w:cs="Simplified Arabic"/>
          <w:sz w:val="22"/>
          <w:szCs w:val="22"/>
        </w:rPr>
        <w:t xml:space="preserve"> </w:t>
      </w:r>
      <w:r w:rsidRPr="00551265">
        <w:rPr>
          <w:rFonts w:ascii="Simplified Arabic" w:hAnsi="Simplified Arabic" w:cs="Simplified Arabic"/>
          <w:sz w:val="22"/>
          <w:szCs w:val="22"/>
          <w:rtl/>
        </w:rPr>
        <w:t xml:space="preserve"> محمد الصغير بعلي، الوجيز في المنازعات </w:t>
      </w:r>
      <w:proofErr w:type="gramStart"/>
      <w:r w:rsidRPr="00551265">
        <w:rPr>
          <w:rFonts w:ascii="Simplified Arabic" w:hAnsi="Simplified Arabic" w:cs="Simplified Arabic"/>
          <w:sz w:val="22"/>
          <w:szCs w:val="22"/>
          <w:rtl/>
        </w:rPr>
        <w:t>الإدارية ،</w:t>
      </w:r>
      <w:proofErr w:type="gramEnd"/>
      <w:r w:rsidRPr="00551265">
        <w:rPr>
          <w:rFonts w:ascii="Simplified Arabic" w:hAnsi="Simplified Arabic" w:cs="Simplified Arabic"/>
          <w:sz w:val="22"/>
          <w:szCs w:val="22"/>
          <w:rtl/>
        </w:rPr>
        <w:t xml:space="preserve"> المرجع السابق، ص 66.</w:t>
      </w:r>
    </w:p>
  </w:footnote>
  <w:footnote w:id="37">
    <w:p w:rsidR="001C61F9" w:rsidRPr="00346848" w:rsidRDefault="001C61F9" w:rsidP="001C61F9">
      <w:pPr>
        <w:pStyle w:val="Notedebasdepage"/>
        <w:jc w:val="right"/>
        <w:rPr>
          <w:rtl/>
        </w:rPr>
      </w:pPr>
      <w:r w:rsidRPr="00EF0BEB">
        <w:rPr>
          <w:rFonts w:ascii="Simplified Arabic" w:hAnsi="Simplified Arabic" w:cs="Simplified Arabic"/>
          <w:sz w:val="22"/>
          <w:szCs w:val="22"/>
          <w:rtl/>
        </w:rPr>
        <w:t xml:space="preserve">حسن مصطفى حسين، القضاء الإداري </w:t>
      </w:r>
      <w:proofErr w:type="gramStart"/>
      <w:r w:rsidRPr="00EF0BEB">
        <w:rPr>
          <w:rFonts w:ascii="Simplified Arabic" w:hAnsi="Simplified Arabic" w:cs="Simplified Arabic"/>
          <w:sz w:val="22"/>
          <w:szCs w:val="22"/>
          <w:rtl/>
        </w:rPr>
        <w:t>الجزائري  ،</w:t>
      </w:r>
      <w:proofErr w:type="gramEnd"/>
      <w:r w:rsidRPr="00EF0BEB">
        <w:rPr>
          <w:rFonts w:ascii="Simplified Arabic" w:hAnsi="Simplified Arabic" w:cs="Simplified Arabic"/>
          <w:sz w:val="22"/>
          <w:szCs w:val="22"/>
          <w:rtl/>
        </w:rPr>
        <w:t xml:space="preserve"> ديوان المطبوعات الجامعية، </w:t>
      </w:r>
      <w:r>
        <w:rPr>
          <w:rFonts w:ascii="Simplified Arabic" w:hAnsi="Simplified Arabic" w:cs="Simplified Arabic" w:hint="cs"/>
          <w:sz w:val="22"/>
          <w:szCs w:val="22"/>
          <w:rtl/>
        </w:rPr>
        <w:t>الجزائر،</w:t>
      </w:r>
      <w:r w:rsidRPr="00EF0BEB">
        <w:rPr>
          <w:rFonts w:ascii="Simplified Arabic" w:hAnsi="Simplified Arabic" w:cs="Simplified Arabic"/>
          <w:sz w:val="22"/>
          <w:szCs w:val="22"/>
          <w:rtl/>
        </w:rPr>
        <w:t xml:space="preserve"> سنة 1999 ، ص</w:t>
      </w:r>
      <w:r>
        <w:rPr>
          <w:rFonts w:ascii="Simplified Arabic" w:hAnsi="Simplified Arabic" w:cs="Simplified Arabic" w:hint="cs"/>
          <w:sz w:val="22"/>
          <w:szCs w:val="22"/>
          <w:rtl/>
        </w:rPr>
        <w:t>35.</w:t>
      </w:r>
      <w:r>
        <w:rPr>
          <w:rStyle w:val="Appelnotedebasdep"/>
        </w:rPr>
        <w:t xml:space="preserve"> </w:t>
      </w:r>
      <w:r>
        <w:rPr>
          <w:rStyle w:val="Appelnotedebasdep"/>
        </w:rPr>
        <w:footnoteRef/>
      </w:r>
      <w:r>
        <w:t xml:space="preserve"> </w:t>
      </w:r>
    </w:p>
  </w:footnote>
  <w:footnote w:id="38">
    <w:p w:rsidR="001C61F9" w:rsidRPr="0052609A" w:rsidRDefault="001C61F9" w:rsidP="001C61F9">
      <w:pPr>
        <w:pStyle w:val="Notedebasdepage"/>
        <w:jc w:val="right"/>
        <w:rPr>
          <w:rtl/>
        </w:rPr>
      </w:pPr>
      <w:r w:rsidRPr="0052609A">
        <w:rPr>
          <w:rFonts w:hint="cs"/>
          <w:vertAlign w:val="superscript"/>
          <w:rtl/>
        </w:rPr>
        <w:t>28</w:t>
      </w:r>
      <w:r>
        <w:rPr>
          <w:rFonts w:hint="cs"/>
          <w:vertAlign w:val="superscript"/>
          <w:rtl/>
        </w:rPr>
        <w:t xml:space="preserve"> </w:t>
      </w:r>
      <w:proofErr w:type="spellStart"/>
      <w:proofErr w:type="gramStart"/>
      <w:r>
        <w:rPr>
          <w:rFonts w:hint="cs"/>
          <w:vertAlign w:val="superscript"/>
          <w:rtl/>
        </w:rPr>
        <w:t>ا</w:t>
      </w:r>
      <w:r>
        <w:rPr>
          <w:rFonts w:hint="cs"/>
          <w:rtl/>
        </w:rPr>
        <w:t>الأمر</w:t>
      </w:r>
      <w:proofErr w:type="spellEnd"/>
      <w:r>
        <w:rPr>
          <w:rFonts w:hint="cs"/>
          <w:rtl/>
        </w:rPr>
        <w:t xml:space="preserve"> </w:t>
      </w:r>
      <w:r w:rsidRPr="0052609A">
        <w:rPr>
          <w:rFonts w:ascii="Simplified Arabic" w:hAnsi="Simplified Arabic" w:cs="Simplified Arabic"/>
          <w:sz w:val="22"/>
          <w:szCs w:val="22"/>
          <w:rtl/>
        </w:rPr>
        <w:t xml:space="preserve"> رقم</w:t>
      </w:r>
      <w:proofErr w:type="gramEnd"/>
      <w:r w:rsidRPr="0052609A">
        <w:rPr>
          <w:rFonts w:ascii="Simplified Arabic" w:hAnsi="Simplified Arabic" w:cs="Simplified Arabic"/>
          <w:sz w:val="22"/>
          <w:szCs w:val="22"/>
          <w:rtl/>
        </w:rPr>
        <w:t xml:space="preserve"> 66 - 154 مؤرخ في 8 جوان 1966 يتضمن قانون الإجراءات المدنية، ج ر، العدد 47 صادر بتاريخ 9 جوان 1966</w:t>
      </w:r>
      <w:r>
        <w:rPr>
          <w:rFonts w:ascii="Simplified Arabic" w:hAnsi="Simplified Arabic" w:cs="Simplified Arabic" w:hint="cs"/>
          <w:sz w:val="22"/>
          <w:szCs w:val="22"/>
          <w:rtl/>
        </w:rPr>
        <w:t xml:space="preserve"> ،</w:t>
      </w:r>
      <w:r>
        <w:rPr>
          <w:rFonts w:ascii="Simplified Arabic" w:hAnsi="Simplified Arabic" w:cs="Simplified Arabic"/>
          <w:sz w:val="22"/>
          <w:szCs w:val="22"/>
          <w:rtl/>
        </w:rPr>
        <w:t>(</w:t>
      </w:r>
      <w:r>
        <w:rPr>
          <w:rFonts w:ascii="Simplified Arabic" w:hAnsi="Simplified Arabic" w:cs="Simplified Arabic" w:hint="cs"/>
          <w:sz w:val="22"/>
          <w:szCs w:val="22"/>
          <w:rtl/>
        </w:rPr>
        <w:t xml:space="preserve"> ملغى</w:t>
      </w:r>
      <w:r>
        <w:rPr>
          <w:rFonts w:ascii="Simplified Arabic" w:hAnsi="Simplified Arabic" w:cs="Simplified Arabic"/>
          <w:sz w:val="22"/>
          <w:szCs w:val="22"/>
          <w:rtl/>
        </w:rPr>
        <w:t>)</w:t>
      </w:r>
      <w:r>
        <w:rPr>
          <w:rFonts w:hint="cs"/>
          <w:rtl/>
        </w:rPr>
        <w:t xml:space="preserve">  .</w:t>
      </w:r>
    </w:p>
  </w:footnote>
  <w:footnote w:id="39">
    <w:p w:rsidR="001C61F9" w:rsidRDefault="001C61F9" w:rsidP="001C61F9">
      <w:pPr>
        <w:pStyle w:val="Notedebasdepage"/>
        <w:bidi/>
        <w:rPr>
          <w:rFonts w:ascii="Simplified Arabic" w:hAnsi="Simplified Arabic" w:cs="Simplified Arabic"/>
          <w:sz w:val="22"/>
          <w:szCs w:val="22"/>
          <w:rtl/>
        </w:rPr>
      </w:pPr>
      <w:r>
        <w:rPr>
          <w:rStyle w:val="Appelnotedebasdep"/>
        </w:rPr>
        <w:footnoteRef/>
      </w:r>
      <w:r>
        <w:t xml:space="preserve"> </w:t>
      </w:r>
      <w:r w:rsidRPr="008733C2">
        <w:rPr>
          <w:rFonts w:ascii="Simplified Arabic" w:hAnsi="Simplified Arabic" w:cs="Simplified Arabic"/>
          <w:sz w:val="22"/>
          <w:szCs w:val="22"/>
          <w:rtl/>
        </w:rPr>
        <w:t xml:space="preserve">خلوفي رشيد، قانون المنازعات الإدارية، تنظيم واختصاص القضاء الإداري، </w:t>
      </w:r>
      <w:r w:rsidRPr="00A85257">
        <w:rPr>
          <w:rFonts w:ascii="Simplified Arabic" w:hAnsi="Simplified Arabic" w:cs="Simplified Arabic" w:hint="cs"/>
          <w:sz w:val="22"/>
          <w:szCs w:val="22"/>
          <w:rtl/>
        </w:rPr>
        <w:t>ط</w:t>
      </w:r>
      <w:proofErr w:type="gramStart"/>
      <w:r w:rsidRPr="00A85257">
        <w:rPr>
          <w:rFonts w:ascii="Simplified Arabic" w:hAnsi="Simplified Arabic" w:cs="Simplified Arabic" w:hint="cs"/>
          <w:sz w:val="22"/>
          <w:szCs w:val="22"/>
          <w:rtl/>
        </w:rPr>
        <w:t>2 ،</w:t>
      </w:r>
      <w:proofErr w:type="gramEnd"/>
      <w:r w:rsidRPr="00A85257">
        <w:rPr>
          <w:rFonts w:ascii="Simplified Arabic" w:hAnsi="Simplified Arabic" w:cs="Simplified Arabic" w:hint="cs"/>
          <w:sz w:val="22"/>
          <w:szCs w:val="22"/>
          <w:rtl/>
        </w:rPr>
        <w:t xml:space="preserve"> د م ج ، الجزائر ، 2005</w:t>
      </w:r>
      <w:r w:rsidRPr="008733C2">
        <w:rPr>
          <w:rFonts w:ascii="Simplified Arabic" w:hAnsi="Simplified Arabic" w:cs="Simplified Arabic"/>
          <w:sz w:val="22"/>
          <w:szCs w:val="22"/>
          <w:rtl/>
        </w:rPr>
        <w:t>، ص64</w:t>
      </w:r>
      <w:r>
        <w:rPr>
          <w:rFonts w:ascii="Simplified Arabic" w:hAnsi="Simplified Arabic" w:cs="Simplified Arabic" w:hint="cs"/>
          <w:sz w:val="22"/>
          <w:szCs w:val="22"/>
          <w:rtl/>
        </w:rPr>
        <w:t>.</w:t>
      </w:r>
    </w:p>
    <w:p w:rsidR="001C61F9" w:rsidRPr="00DE4ABE" w:rsidRDefault="001C61F9" w:rsidP="001C61F9">
      <w:pPr>
        <w:pStyle w:val="Notedebasdepage"/>
        <w:bidi/>
        <w:rPr>
          <w:rtl/>
        </w:rPr>
      </w:pPr>
    </w:p>
  </w:footnote>
  <w:footnote w:id="40">
    <w:p w:rsidR="001C61F9" w:rsidRPr="009660F9" w:rsidRDefault="001C61F9" w:rsidP="001C61F9">
      <w:pPr>
        <w:pStyle w:val="Notedebasdepage"/>
        <w:jc w:val="right"/>
        <w:rPr>
          <w:rtl/>
        </w:rPr>
      </w:pPr>
      <w:r w:rsidRPr="009E1299">
        <w:rPr>
          <w:rFonts w:ascii="Simplified Arabic" w:hAnsi="Simplified Arabic" w:cs="Simplified Arabic" w:hint="cs"/>
          <w:sz w:val="28"/>
          <w:szCs w:val="28"/>
          <w:rtl/>
        </w:rPr>
        <w:t>ا</w:t>
      </w:r>
      <w:r w:rsidRPr="008733C2">
        <w:rPr>
          <w:rFonts w:ascii="Simplified Arabic" w:hAnsi="Simplified Arabic" w:cs="Simplified Arabic" w:hint="cs"/>
          <w:sz w:val="22"/>
          <w:szCs w:val="22"/>
          <w:rtl/>
        </w:rPr>
        <w:t>لأمر</w:t>
      </w:r>
      <w:r w:rsidRPr="008733C2">
        <w:rPr>
          <w:rFonts w:ascii="Simplified Arabic" w:hAnsi="Simplified Arabic" w:cs="Simplified Arabic"/>
          <w:sz w:val="22"/>
          <w:szCs w:val="22"/>
          <w:rtl/>
        </w:rPr>
        <w:t xml:space="preserve"> 65-278 المؤرخ في 16 نوفمبر 1965 المتعلق بالتنظيم </w:t>
      </w:r>
      <w:proofErr w:type="gramStart"/>
      <w:r w:rsidRPr="008733C2">
        <w:rPr>
          <w:rFonts w:ascii="Simplified Arabic" w:hAnsi="Simplified Arabic" w:cs="Simplified Arabic"/>
          <w:sz w:val="22"/>
          <w:szCs w:val="22"/>
          <w:rtl/>
        </w:rPr>
        <w:t>القضائي</w:t>
      </w:r>
      <w:r>
        <w:rPr>
          <w:rFonts w:ascii="Simplified Arabic" w:hAnsi="Simplified Arabic" w:cs="Simplified Arabic" w:hint="cs"/>
          <w:sz w:val="22"/>
          <w:szCs w:val="22"/>
          <w:rtl/>
        </w:rPr>
        <w:t xml:space="preserve"> ،</w:t>
      </w:r>
      <w:proofErr w:type="gramEnd"/>
      <w:r>
        <w:rPr>
          <w:rFonts w:ascii="Simplified Arabic" w:hAnsi="Simplified Arabic" w:cs="Simplified Arabic" w:hint="cs"/>
          <w:sz w:val="22"/>
          <w:szCs w:val="22"/>
          <w:rtl/>
        </w:rPr>
        <w:t xml:space="preserve"> ج ر ، العدد 96 المؤرخة في 23 نوفمبر 1965</w:t>
      </w:r>
      <w:r>
        <w:rPr>
          <w:rStyle w:val="Appelnotedebasdep"/>
        </w:rPr>
        <w:footnoteRef/>
      </w:r>
      <w:r>
        <w:t xml:space="preserve"> </w:t>
      </w:r>
      <w:r>
        <w:rPr>
          <w:rFonts w:hint="cs"/>
          <w:rtl/>
        </w:rPr>
        <w:t xml:space="preserve"> </w:t>
      </w:r>
    </w:p>
  </w:footnote>
  <w:footnote w:id="41">
    <w:p w:rsidR="001C61F9" w:rsidRPr="006F7A8D" w:rsidRDefault="001C61F9" w:rsidP="001C61F9">
      <w:pPr>
        <w:pStyle w:val="Notedebasdepage"/>
        <w:bidi/>
        <w:rPr>
          <w:rtl/>
        </w:rPr>
      </w:pPr>
      <w:r>
        <w:rPr>
          <w:rStyle w:val="Appelnotedebasdep"/>
        </w:rPr>
        <w:footnoteRef/>
      </w:r>
      <w:r>
        <w:t xml:space="preserve"> </w:t>
      </w:r>
      <w:r>
        <w:rPr>
          <w:rFonts w:hint="cs"/>
          <w:rtl/>
        </w:rPr>
        <w:t xml:space="preserve"> </w:t>
      </w:r>
      <w:r w:rsidRPr="00F87FDB">
        <w:rPr>
          <w:rFonts w:ascii="Simplified Arabic" w:hAnsi="Simplified Arabic" w:cs="Simplified Arabic"/>
          <w:sz w:val="22"/>
          <w:szCs w:val="22"/>
          <w:rtl/>
        </w:rPr>
        <w:t xml:space="preserve">قانون رقم 86/ 01 المؤرخ في 28 </w:t>
      </w:r>
      <w:proofErr w:type="spellStart"/>
      <w:r>
        <w:rPr>
          <w:rFonts w:ascii="Simplified Arabic" w:hAnsi="Simplified Arabic" w:cs="Simplified Arabic" w:hint="cs"/>
          <w:sz w:val="22"/>
          <w:szCs w:val="22"/>
          <w:rtl/>
        </w:rPr>
        <w:t>جانفي</w:t>
      </w:r>
      <w:proofErr w:type="spellEnd"/>
      <w:r w:rsidRPr="00F87FDB">
        <w:rPr>
          <w:rFonts w:ascii="Simplified Arabic" w:hAnsi="Simplified Arabic" w:cs="Simplified Arabic"/>
          <w:sz w:val="22"/>
          <w:szCs w:val="22"/>
          <w:rtl/>
        </w:rPr>
        <w:t xml:space="preserve"> </w:t>
      </w:r>
      <w:r w:rsidRPr="00F87FDB">
        <w:rPr>
          <w:rFonts w:ascii="Simplified Arabic" w:hAnsi="Simplified Arabic" w:cs="Simplified Arabic" w:hint="cs"/>
          <w:sz w:val="22"/>
          <w:szCs w:val="22"/>
          <w:rtl/>
        </w:rPr>
        <w:t>1986، ج</w:t>
      </w:r>
      <w:r w:rsidRPr="00F87FDB">
        <w:rPr>
          <w:rFonts w:ascii="Simplified Arabic" w:hAnsi="Simplified Arabic" w:cs="Simplified Arabic"/>
          <w:sz w:val="22"/>
          <w:szCs w:val="22"/>
          <w:rtl/>
        </w:rPr>
        <w:t xml:space="preserve"> </w:t>
      </w:r>
      <w:r w:rsidRPr="00F87FDB">
        <w:rPr>
          <w:rFonts w:ascii="Simplified Arabic" w:hAnsi="Simplified Arabic" w:cs="Simplified Arabic" w:hint="cs"/>
          <w:sz w:val="22"/>
          <w:szCs w:val="22"/>
          <w:rtl/>
        </w:rPr>
        <w:t>ر، العدد</w:t>
      </w:r>
      <w:r w:rsidRPr="00F87FDB">
        <w:rPr>
          <w:rFonts w:ascii="Simplified Arabic" w:hAnsi="Simplified Arabic" w:cs="Simplified Arabic"/>
          <w:sz w:val="22"/>
          <w:szCs w:val="22"/>
          <w:rtl/>
        </w:rPr>
        <w:t xml:space="preserve"> 04 المؤرخة في 29 </w:t>
      </w:r>
      <w:r w:rsidRPr="00F87FDB">
        <w:rPr>
          <w:rFonts w:ascii="Simplified Arabic" w:hAnsi="Simplified Arabic" w:cs="Simplified Arabic" w:hint="cs"/>
          <w:sz w:val="22"/>
          <w:szCs w:val="22"/>
          <w:rtl/>
        </w:rPr>
        <w:t>يناير</w:t>
      </w:r>
      <w:r w:rsidRPr="00F87FDB">
        <w:rPr>
          <w:rFonts w:ascii="Simplified Arabic" w:hAnsi="Simplified Arabic" w:cs="Simplified Arabic"/>
          <w:sz w:val="22"/>
          <w:szCs w:val="22"/>
          <w:rtl/>
        </w:rPr>
        <w:t xml:space="preserve"> 1986.</w:t>
      </w:r>
    </w:p>
  </w:footnote>
  <w:footnote w:id="42">
    <w:p w:rsidR="001C61F9" w:rsidRPr="009660F9" w:rsidRDefault="001C61F9" w:rsidP="001C61F9">
      <w:pPr>
        <w:pStyle w:val="Notedebasdepage"/>
        <w:jc w:val="right"/>
        <w:rPr>
          <w:rtl/>
        </w:rPr>
      </w:pPr>
      <w:r>
        <w:rPr>
          <w:rFonts w:hint="cs"/>
          <w:rtl/>
        </w:rPr>
        <w:t xml:space="preserve"> </w:t>
      </w:r>
      <w:r w:rsidRPr="009660F9">
        <w:rPr>
          <w:rFonts w:hint="cs"/>
          <w:vertAlign w:val="superscript"/>
          <w:rtl/>
        </w:rPr>
        <w:t>32</w:t>
      </w:r>
      <w:r>
        <w:rPr>
          <w:rFonts w:hint="cs"/>
          <w:vertAlign w:val="superscript"/>
          <w:rtl/>
        </w:rPr>
        <w:t xml:space="preserve"> </w:t>
      </w:r>
      <w:r w:rsidRPr="009660F9">
        <w:rPr>
          <w:rFonts w:ascii="Simplified Arabic" w:hAnsi="Simplified Arabic" w:cs="Simplified Arabic"/>
          <w:sz w:val="22"/>
          <w:szCs w:val="22"/>
          <w:rtl/>
        </w:rPr>
        <w:t xml:space="preserve">مرسوم رقم 86 -107 مؤرخ في 29أفريل 1986 يحدد قائمة المجالس القضائية واختصاصها الاقليمي في إطار المادة 7 من الأمر 66-154 المتضمن قانون الاجراءات المدنية ج ر عدد 18صادر بتاريخ 30أفريل </w:t>
      </w:r>
      <w:r>
        <w:rPr>
          <w:rFonts w:ascii="Simplified Arabic" w:hAnsi="Simplified Arabic" w:cs="Simplified Arabic" w:hint="cs"/>
          <w:sz w:val="22"/>
          <w:szCs w:val="22"/>
          <w:rtl/>
        </w:rPr>
        <w:t>1986.</w:t>
      </w:r>
    </w:p>
  </w:footnote>
  <w:footnote w:id="43">
    <w:p w:rsidR="001C61F9" w:rsidRPr="00F87FDB" w:rsidRDefault="001C61F9" w:rsidP="001C61F9">
      <w:pPr>
        <w:pStyle w:val="Notedebasdepage"/>
        <w:bidi/>
        <w:rPr>
          <w:rtl/>
        </w:rPr>
      </w:pPr>
      <w:r>
        <w:rPr>
          <w:rStyle w:val="Appelnotedebasdep"/>
        </w:rPr>
        <w:footnoteRef/>
      </w:r>
      <w:r>
        <w:t xml:space="preserve"> </w:t>
      </w:r>
      <w:r>
        <w:rPr>
          <w:rFonts w:hint="cs"/>
          <w:rtl/>
        </w:rPr>
        <w:t xml:space="preserve"> </w:t>
      </w:r>
      <w:r w:rsidRPr="00A10E30">
        <w:rPr>
          <w:rFonts w:ascii="Simplified Arabic" w:hAnsi="Simplified Arabic" w:cs="Simplified Arabic" w:hint="cs"/>
          <w:sz w:val="22"/>
          <w:szCs w:val="22"/>
          <w:rtl/>
        </w:rPr>
        <w:t>القانون 90 /23 المؤرخ 18 أوت 199</w:t>
      </w:r>
      <w:r>
        <w:rPr>
          <w:rFonts w:ascii="Simplified Arabic" w:hAnsi="Simplified Arabic" w:cs="Simplified Arabic" w:hint="cs"/>
          <w:sz w:val="22"/>
          <w:szCs w:val="22"/>
          <w:rtl/>
        </w:rPr>
        <w:t>0، يعدل ويتمم الأمر رقم 66</w:t>
      </w:r>
      <w:r>
        <w:rPr>
          <w:rFonts w:ascii="Simplified Arabic" w:hAnsi="Simplified Arabic" w:cs="Simplified Arabic"/>
          <w:sz w:val="22"/>
          <w:szCs w:val="22"/>
          <w:rtl/>
        </w:rPr>
        <w:noBreakHyphen/>
      </w:r>
      <w:r>
        <w:rPr>
          <w:rFonts w:ascii="Simplified Arabic" w:hAnsi="Simplified Arabic" w:cs="Simplified Arabic" w:hint="cs"/>
          <w:sz w:val="22"/>
          <w:szCs w:val="22"/>
          <w:rtl/>
        </w:rPr>
        <w:t xml:space="preserve">154 المؤرخ في 8 يونيو 1966 المتضمن قانون الإجراءات المدنية، </w:t>
      </w:r>
      <w:r w:rsidRPr="00A10E30">
        <w:rPr>
          <w:rFonts w:ascii="Simplified Arabic" w:hAnsi="Simplified Arabic" w:cs="Simplified Arabic"/>
          <w:sz w:val="22"/>
          <w:szCs w:val="22"/>
          <w:rtl/>
        </w:rPr>
        <w:t xml:space="preserve">ج ر عدد </w:t>
      </w:r>
      <w:r>
        <w:rPr>
          <w:rFonts w:ascii="Simplified Arabic" w:hAnsi="Simplified Arabic" w:cs="Simplified Arabic" w:hint="cs"/>
          <w:sz w:val="22"/>
          <w:szCs w:val="22"/>
          <w:rtl/>
        </w:rPr>
        <w:t>36</w:t>
      </w:r>
      <w:r w:rsidRPr="00A10E30">
        <w:rPr>
          <w:rFonts w:ascii="Simplified Arabic" w:hAnsi="Simplified Arabic" w:cs="Simplified Arabic"/>
          <w:sz w:val="22"/>
          <w:szCs w:val="22"/>
          <w:rtl/>
        </w:rPr>
        <w:t xml:space="preserve"> المؤرخة في </w:t>
      </w:r>
      <w:r>
        <w:rPr>
          <w:rFonts w:ascii="Simplified Arabic" w:hAnsi="Simplified Arabic" w:cs="Simplified Arabic" w:hint="cs"/>
          <w:sz w:val="22"/>
          <w:szCs w:val="22"/>
          <w:rtl/>
        </w:rPr>
        <w:t>22أوت</w:t>
      </w:r>
      <w:r w:rsidRPr="00A10E30">
        <w:rPr>
          <w:rFonts w:ascii="Simplified Arabic" w:hAnsi="Simplified Arabic" w:cs="Simplified Arabic"/>
          <w:sz w:val="22"/>
          <w:szCs w:val="22"/>
          <w:rtl/>
        </w:rPr>
        <w:t xml:space="preserve"> 19</w:t>
      </w:r>
      <w:r>
        <w:rPr>
          <w:rFonts w:ascii="Simplified Arabic" w:hAnsi="Simplified Arabic" w:cs="Simplified Arabic" w:hint="cs"/>
          <w:sz w:val="22"/>
          <w:szCs w:val="22"/>
          <w:rtl/>
        </w:rPr>
        <w:t>90</w:t>
      </w:r>
      <w:r>
        <w:rPr>
          <w:rFonts w:hint="cs"/>
          <w:rtl/>
        </w:rPr>
        <w:t xml:space="preserve">. </w:t>
      </w:r>
    </w:p>
    <w:p w:rsidR="001C61F9" w:rsidRPr="00F87FDB" w:rsidRDefault="001C61F9" w:rsidP="001C61F9">
      <w:pPr>
        <w:pStyle w:val="Notedebasdepage"/>
        <w:bidi/>
        <w:rPr>
          <w:rtl/>
        </w:rPr>
      </w:pPr>
    </w:p>
  </w:footnote>
  <w:footnote w:id="44">
    <w:p w:rsidR="001C61F9" w:rsidRPr="00F87FDB" w:rsidRDefault="001C61F9" w:rsidP="001C61F9">
      <w:pPr>
        <w:pStyle w:val="Notedebasdepage"/>
        <w:bidi/>
        <w:rPr>
          <w:rtl/>
        </w:rPr>
      </w:pPr>
      <w:r w:rsidRPr="00A10E30">
        <w:rPr>
          <w:rStyle w:val="Appelnotedebasdep"/>
          <w:rFonts w:ascii="Simplified Arabic" w:hAnsi="Simplified Arabic" w:cs="Simplified Arabic"/>
          <w:sz w:val="22"/>
          <w:szCs w:val="22"/>
        </w:rPr>
        <w:footnoteRef/>
      </w:r>
      <w:r w:rsidRPr="00A10E30">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A10E30">
        <w:rPr>
          <w:rFonts w:ascii="Simplified Arabic" w:hAnsi="Simplified Arabic" w:cs="Simplified Arabic"/>
          <w:sz w:val="22"/>
          <w:szCs w:val="22"/>
          <w:rtl/>
        </w:rPr>
        <w:t xml:space="preserve">أصبح المجلس الأعلى يسمى بالمحكمة العليا منذ صدور قانون رقم 22 لسنة 1989 المؤرخ في 12 ديسمبر </w:t>
      </w:r>
      <w:proofErr w:type="gramStart"/>
      <w:r w:rsidRPr="00A10E30">
        <w:rPr>
          <w:rFonts w:ascii="Simplified Arabic" w:hAnsi="Simplified Arabic" w:cs="Simplified Arabic"/>
          <w:sz w:val="22"/>
          <w:szCs w:val="22"/>
          <w:rtl/>
        </w:rPr>
        <w:t>1989 ،</w:t>
      </w:r>
      <w:proofErr w:type="gramEnd"/>
      <w:r w:rsidRPr="00A10E30">
        <w:rPr>
          <w:rFonts w:ascii="Simplified Arabic" w:hAnsi="Simplified Arabic" w:cs="Simplified Arabic"/>
          <w:sz w:val="22"/>
          <w:szCs w:val="22"/>
          <w:rtl/>
        </w:rPr>
        <w:t xml:space="preserve">  ج ر عدد 53 المؤرخة في 13 ديسمبر 1989</w:t>
      </w:r>
      <w:r>
        <w:rPr>
          <w:rFonts w:hint="cs"/>
          <w:rtl/>
        </w:rPr>
        <w:t xml:space="preserve">. </w:t>
      </w:r>
    </w:p>
  </w:footnote>
  <w:footnote w:id="45">
    <w:p w:rsidR="001C61F9" w:rsidRPr="00B07A2C" w:rsidRDefault="001C61F9" w:rsidP="001C61F9">
      <w:pPr>
        <w:pStyle w:val="Notedebasdepage"/>
        <w:bidi/>
        <w:rPr>
          <w:rtl/>
        </w:rPr>
      </w:pPr>
      <w:r>
        <w:rPr>
          <w:rStyle w:val="Appelnotedebasdep"/>
        </w:rPr>
        <w:footnoteRef/>
      </w:r>
      <w:r>
        <w:t xml:space="preserve"> </w:t>
      </w:r>
      <w:r>
        <w:rPr>
          <w:rFonts w:hint="cs"/>
          <w:rtl/>
        </w:rPr>
        <w:t xml:space="preserve"> للمزيد من التفصيل راجع: </w:t>
      </w:r>
      <w:r w:rsidRPr="00B07A2C">
        <w:rPr>
          <w:rFonts w:ascii="Simplified Arabic" w:hAnsi="Simplified Arabic" w:cs="Simplified Arabic"/>
          <w:sz w:val="22"/>
          <w:szCs w:val="22"/>
          <w:rtl/>
        </w:rPr>
        <w:t>عمار بوضيا</w:t>
      </w:r>
      <w:r>
        <w:rPr>
          <w:rFonts w:ascii="Microsoft Uighur" w:hAnsi="Microsoft Uighur" w:cs="Microsoft Uighur" w:hint="cs"/>
          <w:sz w:val="22"/>
          <w:szCs w:val="22"/>
          <w:rtl/>
        </w:rPr>
        <w:t>ف</w:t>
      </w:r>
      <w:r w:rsidRPr="00B07A2C">
        <w:rPr>
          <w:rFonts w:ascii="Simplified Arabic" w:hAnsi="Simplified Arabic" w:cs="Simplified Arabic" w:hint="cs"/>
          <w:sz w:val="22"/>
          <w:szCs w:val="22"/>
          <w:rtl/>
        </w:rPr>
        <w:t>،</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المرجع</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في</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المنازعات</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الإدارية،</w:t>
      </w:r>
      <w:r>
        <w:rPr>
          <w:rFonts w:ascii="Simplified Arabic" w:hAnsi="Simplified Arabic" w:cs="Simplified Arabic" w:hint="cs"/>
          <w:sz w:val="22"/>
          <w:szCs w:val="22"/>
          <w:rtl/>
        </w:rPr>
        <w:t xml:space="preserve"> </w:t>
      </w:r>
      <w:r w:rsidRPr="00B07A2C">
        <w:rPr>
          <w:rFonts w:ascii="Simplified Arabic" w:hAnsi="Simplified Arabic" w:cs="Simplified Arabic" w:hint="cs"/>
          <w:sz w:val="22"/>
          <w:szCs w:val="22"/>
          <w:rtl/>
        </w:rPr>
        <w:t>دراسة</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مدعمة</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بالاجتهادات</w:t>
      </w:r>
      <w:r w:rsidRPr="00B07A2C">
        <w:rPr>
          <w:rFonts w:ascii="Simplified Arabic" w:hAnsi="Simplified Arabic" w:cs="Simplified Arabic"/>
          <w:sz w:val="22"/>
          <w:szCs w:val="22"/>
          <w:rtl/>
        </w:rPr>
        <w:t xml:space="preserve"> القضائية ل</w:t>
      </w:r>
      <w:r>
        <w:rPr>
          <w:rFonts w:ascii="Simplified Arabic" w:hAnsi="Simplified Arabic" w:cs="Simplified Arabic" w:hint="cs"/>
          <w:sz w:val="22"/>
          <w:szCs w:val="22"/>
          <w:rtl/>
        </w:rPr>
        <w:t>ل</w:t>
      </w:r>
      <w:r w:rsidRPr="00B07A2C">
        <w:rPr>
          <w:rFonts w:ascii="Simplified Arabic" w:hAnsi="Simplified Arabic" w:cs="Simplified Arabic"/>
          <w:sz w:val="22"/>
          <w:szCs w:val="22"/>
          <w:rtl/>
        </w:rPr>
        <w:t xml:space="preserve">محكمة </w:t>
      </w:r>
      <w:r w:rsidRPr="00B07A2C">
        <w:rPr>
          <w:rFonts w:ascii="Simplified Arabic" w:hAnsi="Simplified Arabic" w:cs="Simplified Arabic" w:hint="cs"/>
          <w:sz w:val="22"/>
          <w:szCs w:val="22"/>
          <w:rtl/>
        </w:rPr>
        <w:t>الع</w:t>
      </w:r>
      <w:r>
        <w:rPr>
          <w:rFonts w:ascii="Simplified Arabic" w:hAnsi="Simplified Arabic" w:cs="Simplified Arabic" w:hint="cs"/>
          <w:sz w:val="22"/>
          <w:szCs w:val="22"/>
          <w:rtl/>
        </w:rPr>
        <w:t>لي</w:t>
      </w:r>
      <w:r w:rsidRPr="00B07A2C">
        <w:rPr>
          <w:rFonts w:ascii="Simplified Arabic" w:hAnsi="Simplified Arabic" w:cs="Simplified Arabic" w:hint="cs"/>
          <w:sz w:val="22"/>
          <w:szCs w:val="22"/>
          <w:rtl/>
        </w:rPr>
        <w:t>ا</w:t>
      </w:r>
      <w:r w:rsidRPr="00B07A2C">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Pr="00B07A2C">
        <w:rPr>
          <w:rFonts w:ascii="Simplified Arabic" w:hAnsi="Simplified Arabic" w:cs="Simplified Arabic"/>
          <w:sz w:val="22"/>
          <w:szCs w:val="22"/>
          <w:rtl/>
        </w:rPr>
        <w:t>و</w:t>
      </w:r>
      <w:r>
        <w:rPr>
          <w:rFonts w:ascii="Simplified Arabic" w:hAnsi="Simplified Arabic" w:cs="Simplified Arabic" w:hint="cs"/>
          <w:sz w:val="22"/>
          <w:szCs w:val="22"/>
          <w:rtl/>
        </w:rPr>
        <w:t xml:space="preserve"> </w:t>
      </w:r>
      <w:r w:rsidRPr="00B07A2C">
        <w:rPr>
          <w:rFonts w:ascii="Simplified Arabic" w:hAnsi="Simplified Arabic" w:cs="Simplified Arabic"/>
          <w:sz w:val="22"/>
          <w:szCs w:val="22"/>
          <w:rtl/>
        </w:rPr>
        <w:t>مج</w:t>
      </w:r>
      <w:r>
        <w:rPr>
          <w:rFonts w:ascii="Simplified Arabic" w:hAnsi="Simplified Arabic" w:cs="Simplified Arabic" w:hint="cs"/>
          <w:sz w:val="22"/>
          <w:szCs w:val="22"/>
          <w:rtl/>
        </w:rPr>
        <w:t>ل</w:t>
      </w:r>
      <w:r w:rsidRPr="00B07A2C">
        <w:rPr>
          <w:rFonts w:ascii="Simplified Arabic" w:hAnsi="Simplified Arabic" w:cs="Simplified Arabic"/>
          <w:sz w:val="22"/>
          <w:szCs w:val="22"/>
          <w:rtl/>
        </w:rPr>
        <w:t>س الدولة ومحكمة التنازع القسـ</w:t>
      </w:r>
      <w:r>
        <w:rPr>
          <w:rFonts w:ascii="Simplified Arabic" w:hAnsi="Simplified Arabic" w:cs="Simplified Arabic" w:hint="cs"/>
          <w:sz w:val="22"/>
          <w:szCs w:val="22"/>
          <w:rtl/>
        </w:rPr>
        <w:t>م</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w:t>
      </w:r>
      <w:r>
        <w:rPr>
          <w:rFonts w:ascii="Simplified Arabic" w:hAnsi="Simplified Arabic" w:cs="Simplified Arabic" w:hint="cs"/>
          <w:sz w:val="22"/>
          <w:szCs w:val="22"/>
          <w:rtl/>
        </w:rPr>
        <w:t xml:space="preserve">لأول </w:t>
      </w:r>
      <w:r w:rsidRPr="00B07A2C">
        <w:rPr>
          <w:rFonts w:ascii="Simplified Arabic" w:hAnsi="Simplified Arabic" w:cs="Simplified Arabic"/>
          <w:sz w:val="22"/>
          <w:szCs w:val="22"/>
          <w:rtl/>
        </w:rPr>
        <w:t>"</w:t>
      </w:r>
      <w:r w:rsidRPr="00B07A2C">
        <w:rPr>
          <w:rFonts w:ascii="Simplified Arabic" w:hAnsi="Simplified Arabic" w:cs="Simplified Arabic" w:hint="cs"/>
          <w:sz w:val="22"/>
          <w:szCs w:val="22"/>
          <w:rtl/>
        </w:rPr>
        <w:t>الإطار</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النظري</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ل</w:t>
      </w:r>
      <w:r>
        <w:rPr>
          <w:rFonts w:ascii="Simplified Arabic" w:hAnsi="Simplified Arabic" w:cs="Simplified Arabic" w:hint="cs"/>
          <w:sz w:val="22"/>
          <w:szCs w:val="22"/>
          <w:rtl/>
        </w:rPr>
        <w:t>ل</w:t>
      </w:r>
      <w:r w:rsidRPr="00B07A2C">
        <w:rPr>
          <w:rFonts w:ascii="Simplified Arabic" w:hAnsi="Simplified Arabic" w:cs="Simplified Arabic" w:hint="cs"/>
          <w:sz w:val="22"/>
          <w:szCs w:val="22"/>
          <w:rtl/>
        </w:rPr>
        <w:t>منازعات</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الإدارية</w:t>
      </w:r>
      <w:proofErr w:type="gramStart"/>
      <w:r w:rsidRPr="00B07A2C">
        <w:rPr>
          <w:rFonts w:ascii="Simplified Arabic" w:hAnsi="Simplified Arabic" w:cs="Simplified Arabic"/>
          <w:sz w:val="22"/>
          <w:szCs w:val="22"/>
          <w:rtl/>
        </w:rPr>
        <w:t>"</w:t>
      </w:r>
      <w:r>
        <w:rPr>
          <w:rFonts w:ascii="Simplified Arabic" w:hAnsi="Simplified Arabic" w:cs="Simplified Arabic" w:hint="cs"/>
          <w:sz w:val="22"/>
          <w:szCs w:val="22"/>
          <w:rtl/>
        </w:rPr>
        <w:t xml:space="preserve"> ،</w:t>
      </w:r>
      <w:proofErr w:type="gramEnd"/>
      <w:r>
        <w:rPr>
          <w:rFonts w:ascii="Simplified Arabic" w:hAnsi="Simplified Arabic" w:cs="Simplified Arabic" w:hint="cs"/>
          <w:sz w:val="22"/>
          <w:szCs w:val="22"/>
          <w:rtl/>
        </w:rPr>
        <w:t xml:space="preserve"> ط 1 ، </w:t>
      </w:r>
      <w:r w:rsidRPr="00B07A2C">
        <w:rPr>
          <w:rFonts w:ascii="Simplified Arabic" w:hAnsi="Simplified Arabic" w:cs="Simplified Arabic" w:hint="cs"/>
          <w:sz w:val="22"/>
          <w:szCs w:val="22"/>
          <w:rtl/>
        </w:rPr>
        <w:t>جسور</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لمنشر</w:t>
      </w:r>
      <w:r w:rsidRPr="00B07A2C">
        <w:rPr>
          <w:rFonts w:ascii="Simplified Arabic" w:hAnsi="Simplified Arabic" w:cs="Simplified Arabic"/>
          <w:sz w:val="22"/>
          <w:szCs w:val="22"/>
          <w:rtl/>
        </w:rPr>
        <w:t xml:space="preserve"> </w:t>
      </w:r>
      <w:r w:rsidRPr="00B07A2C">
        <w:rPr>
          <w:rFonts w:ascii="Simplified Arabic" w:hAnsi="Simplified Arabic" w:cs="Simplified Arabic" w:hint="cs"/>
          <w:sz w:val="22"/>
          <w:szCs w:val="22"/>
          <w:rtl/>
        </w:rPr>
        <w:t>والتوزيع،</w:t>
      </w:r>
      <w:r w:rsidRPr="00B07A2C">
        <w:rPr>
          <w:rFonts w:ascii="Simplified Arabic" w:hAnsi="Simplified Arabic" w:cs="Simplified Arabic"/>
          <w:sz w:val="22"/>
          <w:szCs w:val="22"/>
          <w:rtl/>
        </w:rPr>
        <w:t xml:space="preserve"> 2013</w:t>
      </w:r>
      <w:r>
        <w:rPr>
          <w:rFonts w:ascii="Simplified Arabic" w:hAnsi="Simplified Arabic" w:cs="Simplified Arabic" w:hint="cs"/>
          <w:sz w:val="22"/>
          <w:szCs w:val="22"/>
          <w:rtl/>
        </w:rPr>
        <w:t>، ص54.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F9"/>
    <w:rsid w:val="001C61F9"/>
    <w:rsid w:val="002059C3"/>
    <w:rsid w:val="005633A3"/>
    <w:rsid w:val="00834D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B8606-7A01-4981-81F6-F589BE02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C61F9"/>
    <w:pPr>
      <w:spacing w:after="0" w:line="240" w:lineRule="auto"/>
    </w:pPr>
    <w:rPr>
      <w:sz w:val="20"/>
      <w:szCs w:val="20"/>
    </w:rPr>
  </w:style>
  <w:style w:type="character" w:customStyle="1" w:styleId="NotedebasdepageCar">
    <w:name w:val="Note de bas de page Car"/>
    <w:basedOn w:val="Policepardfaut"/>
    <w:link w:val="Notedebasdepage"/>
    <w:uiPriority w:val="99"/>
    <w:rsid w:val="001C61F9"/>
    <w:rPr>
      <w:sz w:val="20"/>
      <w:szCs w:val="20"/>
    </w:rPr>
  </w:style>
  <w:style w:type="character" w:styleId="Appelnotedebasdep">
    <w:name w:val="footnote reference"/>
    <w:basedOn w:val="Policepardfaut"/>
    <w:uiPriority w:val="99"/>
    <w:semiHidden/>
    <w:unhideWhenUsed/>
    <w:rsid w:val="001C6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5899</Words>
  <Characters>32447</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2021-05-05T21:10:00Z</dcterms:created>
  <dcterms:modified xsi:type="dcterms:W3CDTF">2021-05-05T21:16:00Z</dcterms:modified>
</cp:coreProperties>
</file>