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94" w:rsidRPr="00F93014" w:rsidRDefault="001F6894" w:rsidP="001F6894">
      <w:pPr>
        <w:pBdr>
          <w:bottom w:val="thinThickSmallGap" w:sz="18" w:space="1" w:color="auto"/>
        </w:pBd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93014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-50165</wp:posOffset>
            </wp:positionV>
            <wp:extent cx="774065" cy="810895"/>
            <wp:effectExtent l="19050" t="0" r="6985" b="0"/>
            <wp:wrapSquare wrapText="bothSides"/>
            <wp:docPr id="3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014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6031865</wp:posOffset>
            </wp:positionH>
            <wp:positionV relativeFrom="paragraph">
              <wp:posOffset>-50165</wp:posOffset>
            </wp:positionV>
            <wp:extent cx="771525" cy="810895"/>
            <wp:effectExtent l="19050" t="0" r="9525" b="0"/>
            <wp:wrapSquare wrapText="bothSides"/>
            <wp:docPr id="4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01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جــــــــامعـــــــــة 8 </w:t>
      </w:r>
      <w:proofErr w:type="spellStart"/>
      <w:r w:rsidRPr="00F93014">
        <w:rPr>
          <w:rFonts w:ascii="Traditional Arabic" w:hAnsi="Traditional Arabic" w:cs="Traditional Arabic"/>
          <w:b/>
          <w:bCs/>
          <w:sz w:val="28"/>
          <w:szCs w:val="28"/>
          <w:rtl/>
        </w:rPr>
        <w:t>ماي</w:t>
      </w:r>
      <w:proofErr w:type="spellEnd"/>
      <w:r w:rsidRPr="00F9301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spellStart"/>
      <w:r w:rsidRPr="00F93014">
        <w:rPr>
          <w:rFonts w:ascii="Traditional Arabic" w:hAnsi="Traditional Arabic" w:cs="Traditional Arabic"/>
          <w:b/>
          <w:bCs/>
          <w:sz w:val="28"/>
          <w:szCs w:val="28"/>
          <w:rtl/>
        </w:rPr>
        <w:t>1945</w:t>
      </w:r>
      <w:r w:rsidRPr="00F9301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proofErr w:type="spellEnd"/>
      <w:r w:rsidRPr="00F9301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F9301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قالمة</w:t>
      </w:r>
      <w:proofErr w:type="spellEnd"/>
    </w:p>
    <w:p w:rsidR="001F6894" w:rsidRPr="00F93014" w:rsidRDefault="001F6894" w:rsidP="001F6894">
      <w:pPr>
        <w:pBdr>
          <w:bottom w:val="thinThickSmallGap" w:sz="18" w:space="1" w:color="auto"/>
        </w:pBd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9301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كلية العلوم الاقتصادية والتجارية وعلـوم التسيير </w:t>
      </w:r>
    </w:p>
    <w:p w:rsidR="001F6894" w:rsidRPr="00F93014" w:rsidRDefault="001F6894" w:rsidP="001F6894">
      <w:pPr>
        <w:pBdr>
          <w:bottom w:val="thinThickSmallGap" w:sz="18" w:space="1" w:color="auto"/>
        </w:pBd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93014">
        <w:rPr>
          <w:rFonts w:ascii="Traditional Arabic" w:hAnsi="Traditional Arabic" w:cs="Traditional Arabic"/>
          <w:b/>
          <w:bCs/>
          <w:sz w:val="28"/>
          <w:szCs w:val="28"/>
          <w:rtl/>
        </w:rPr>
        <w:t>قــــســـم عــــلوم التسيـــيـــــر</w:t>
      </w:r>
    </w:p>
    <w:p w:rsidR="001F6894" w:rsidRPr="00657E37" w:rsidRDefault="001F6894" w:rsidP="001F6894">
      <w:pPr>
        <w:pBdr>
          <w:bottom w:val="thinThickSmallGap" w:sz="18" w:space="1" w:color="auto"/>
        </w:pBd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spellStart"/>
      <w:r w:rsidRPr="00657E37">
        <w:rPr>
          <w:rFonts w:ascii="Traditional Arabic" w:hAnsi="Traditional Arabic" w:cs="Traditional Arabic"/>
          <w:b/>
          <w:bCs/>
          <w:sz w:val="28"/>
          <w:szCs w:val="28"/>
          <w:rtl/>
        </w:rPr>
        <w:t>المستوى:</w:t>
      </w:r>
      <w:proofErr w:type="spellEnd"/>
      <w:r w:rsidRPr="00657E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775A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الثانية مالية ومحاسبة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</w:t>
      </w:r>
      <w:r w:rsidRPr="00657E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spellStart"/>
      <w:r w:rsidRPr="00657E37">
        <w:rPr>
          <w:rFonts w:ascii="Traditional Arabic" w:hAnsi="Traditional Arabic" w:cs="Traditional Arabic"/>
          <w:b/>
          <w:bCs/>
          <w:sz w:val="28"/>
          <w:szCs w:val="28"/>
          <w:rtl/>
        </w:rPr>
        <w:t>التاريخ:</w:t>
      </w:r>
      <w:proofErr w:type="spellEnd"/>
      <w:r w:rsidRPr="00657E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16/05/2024</w:t>
      </w:r>
      <w:r w:rsidRPr="00657E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Pr="00657E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  <w:r w:rsidRPr="00657E37">
        <w:rPr>
          <w:rFonts w:ascii="Traditional Arabic" w:hAnsi="Traditional Arabic" w:cs="Traditional Arabic"/>
          <w:b/>
          <w:bCs/>
          <w:sz w:val="28"/>
          <w:szCs w:val="28"/>
        </w:rPr>
        <w:t xml:space="preserve">  </w:t>
      </w:r>
      <w:proofErr w:type="gramStart"/>
      <w:r w:rsidRPr="00657E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التوقيت </w:t>
      </w:r>
      <w:proofErr w:type="spellStart"/>
      <w:r w:rsidRPr="00657E3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proofErr w:type="spellEnd"/>
      <w:proofErr w:type="gramEnd"/>
      <w:r w:rsidRPr="00657E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ساعتان              </w:t>
      </w:r>
      <w:r w:rsidRPr="00775A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93701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رمز خاص </w:t>
      </w:r>
      <w:proofErr w:type="spellStart"/>
      <w:r w:rsidRPr="0093701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بالإدارة:</w:t>
      </w:r>
      <w:proofErr w:type="spellEnd"/>
      <w:r w:rsidRPr="00952F73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52F73">
        <w:rPr>
          <w:rFonts w:hint="cs"/>
          <w:b/>
          <w:bCs/>
          <w:color w:val="000000" w:themeColor="text1"/>
          <w:sz w:val="10"/>
          <w:szCs w:val="10"/>
          <w:rtl/>
        </w:rPr>
        <w:t>.......................................</w:t>
      </w:r>
      <w:proofErr w:type="spellStart"/>
      <w:r w:rsidRPr="00952F73">
        <w:rPr>
          <w:rFonts w:hint="cs"/>
          <w:b/>
          <w:bCs/>
          <w:color w:val="000000" w:themeColor="text1"/>
          <w:sz w:val="10"/>
          <w:szCs w:val="10"/>
          <w:rtl/>
        </w:rPr>
        <w:t>..</w:t>
      </w:r>
      <w:proofErr w:type="spellEnd"/>
    </w:p>
    <w:p w:rsidR="001F6894" w:rsidRPr="00CC0574" w:rsidRDefault="001F6894" w:rsidP="001F6894">
      <w:pPr>
        <w:tabs>
          <w:tab w:val="left" w:pos="3484"/>
          <w:tab w:val="center" w:pos="5386"/>
        </w:tabs>
        <w:bidi/>
        <w:spacing w:before="120" w:after="0" w:line="240" w:lineRule="auto"/>
        <w:jc w:val="center"/>
        <w:rPr>
          <w:rFonts w:ascii="Traditional Arabic" w:eastAsia="Malgun Gothic" w:hAnsi="Traditional Arabic" w:cs="Traditional Arabic"/>
          <w:b/>
          <w:bCs/>
          <w:sz w:val="44"/>
          <w:szCs w:val="44"/>
        </w:rPr>
      </w:pPr>
      <w:r>
        <w:rPr>
          <w:rFonts w:ascii="Traditional Arabic" w:eastAsia="Malgun Gothic" w:hAnsi="Traditional Arabic" w:cs="Traditional Arabic" w:hint="cs"/>
          <w:b/>
          <w:bCs/>
          <w:sz w:val="36"/>
          <w:szCs w:val="36"/>
          <w:rtl/>
        </w:rPr>
        <w:t>الإجابة النموذجية ل</w:t>
      </w:r>
      <w:r w:rsidRPr="00F93014">
        <w:rPr>
          <w:rFonts w:ascii="Traditional Arabic" w:eastAsia="Malgun Gothic" w:hAnsi="Traditional Arabic" w:cs="Traditional Arabic"/>
          <w:b/>
          <w:bCs/>
          <w:sz w:val="36"/>
          <w:szCs w:val="36"/>
          <w:rtl/>
        </w:rPr>
        <w:t>امتحان السداسي ال</w:t>
      </w:r>
      <w:r w:rsidRPr="00F93014">
        <w:rPr>
          <w:rFonts w:ascii="Traditional Arabic" w:eastAsia="Malgun Gothic" w:hAnsi="Traditional Arabic" w:cs="Traditional Arabic" w:hint="cs"/>
          <w:b/>
          <w:bCs/>
          <w:sz w:val="36"/>
          <w:szCs w:val="36"/>
          <w:rtl/>
        </w:rPr>
        <w:t>ثاني</w:t>
      </w:r>
      <w:r w:rsidRPr="00F93014">
        <w:rPr>
          <w:rFonts w:ascii="Traditional Arabic" w:eastAsia="Malgun Gothic" w:hAnsi="Traditional Arabic" w:cs="Traditional Arabic"/>
          <w:b/>
          <w:bCs/>
          <w:sz w:val="36"/>
          <w:szCs w:val="36"/>
          <w:rtl/>
        </w:rPr>
        <w:t xml:space="preserve"> في </w:t>
      </w:r>
      <w:proofErr w:type="spellStart"/>
      <w:r w:rsidRPr="00F93014">
        <w:rPr>
          <w:rFonts w:ascii="Traditional Arabic" w:eastAsia="Malgun Gothic" w:hAnsi="Traditional Arabic" w:cs="Traditional Arabic" w:hint="cs"/>
          <w:b/>
          <w:bCs/>
          <w:sz w:val="36"/>
          <w:szCs w:val="36"/>
          <w:rtl/>
        </w:rPr>
        <w:t>مادة:</w:t>
      </w:r>
      <w:proofErr w:type="spellEnd"/>
      <w:r w:rsidRPr="00F93014">
        <w:rPr>
          <w:rFonts w:ascii="Traditional Arabic" w:eastAsia="Malgun Gothic" w:hAnsi="Traditional Arabic" w:cs="Traditional Arabic" w:hint="cs"/>
          <w:b/>
          <w:bCs/>
          <w:sz w:val="36"/>
          <w:szCs w:val="36"/>
          <w:rtl/>
        </w:rPr>
        <w:t xml:space="preserve"> مالية ال</w:t>
      </w:r>
      <w:r>
        <w:rPr>
          <w:rFonts w:ascii="Traditional Arabic" w:eastAsia="Malgun Gothic" w:hAnsi="Traditional Arabic" w:cs="Traditional Arabic" w:hint="cs"/>
          <w:b/>
          <w:bCs/>
          <w:sz w:val="36"/>
          <w:szCs w:val="36"/>
          <w:rtl/>
        </w:rPr>
        <w:t>مؤسس</w:t>
      </w:r>
      <w:r w:rsidRPr="00F93014">
        <w:rPr>
          <w:rFonts w:ascii="Traditional Arabic" w:eastAsia="Malgun Gothic" w:hAnsi="Traditional Arabic" w:cs="Traditional Arabic" w:hint="cs"/>
          <w:b/>
          <w:bCs/>
          <w:sz w:val="36"/>
          <w:szCs w:val="36"/>
          <w:rtl/>
        </w:rPr>
        <w:t>ة</w:t>
      </w:r>
    </w:p>
    <w:p w:rsidR="001F6894" w:rsidRPr="00952F73" w:rsidRDefault="001F6894" w:rsidP="001F6894">
      <w:pPr>
        <w:bidi/>
        <w:spacing w:after="0" w:line="240" w:lineRule="auto"/>
        <w:rPr>
          <w:color w:val="000000" w:themeColor="text1"/>
          <w:rtl/>
        </w:rPr>
      </w:pP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 w:rsidRPr="00952F73">
        <w:rPr>
          <w:rFonts w:hint="cs"/>
          <w:color w:val="000000" w:themeColor="text1"/>
          <w:rtl/>
        </w:rPr>
        <w:t xml:space="preserve"> </w:t>
      </w:r>
      <w:proofErr w:type="spellStart"/>
      <w:r w:rsidRPr="00952F73">
        <w:rPr>
          <w:rFonts w:hint="cs"/>
          <w:color w:val="000000" w:themeColor="text1"/>
          <w:rtl/>
        </w:rPr>
        <w:t>-</w:t>
      </w:r>
      <w:proofErr w:type="spellEnd"/>
      <w:r>
        <w:rPr>
          <w:rFonts w:hint="cs"/>
          <w:color w:val="000000" w:themeColor="text1"/>
          <w:rtl/>
        </w:rPr>
        <w:t xml:space="preserve"> </w:t>
      </w:r>
      <w:proofErr w:type="spellStart"/>
      <w:r>
        <w:rPr>
          <w:rFonts w:hint="cs"/>
          <w:color w:val="000000" w:themeColor="text1"/>
          <w:rtl/>
        </w:rPr>
        <w:t>-</w:t>
      </w:r>
      <w:proofErr w:type="spellEnd"/>
      <w:r>
        <w:rPr>
          <w:rFonts w:hint="cs"/>
          <w:color w:val="000000" w:themeColor="text1"/>
          <w:rtl/>
        </w:rPr>
        <w:t xml:space="preserve"> </w:t>
      </w:r>
      <w:proofErr w:type="spellStart"/>
      <w:r>
        <w:rPr>
          <w:rFonts w:hint="cs"/>
          <w:color w:val="000000" w:themeColor="text1"/>
          <w:rtl/>
        </w:rPr>
        <w:t>-</w:t>
      </w:r>
      <w:proofErr w:type="spellEnd"/>
      <w:r>
        <w:rPr>
          <w:rFonts w:hint="cs"/>
          <w:color w:val="000000" w:themeColor="text1"/>
          <w:rtl/>
        </w:rPr>
        <w:t xml:space="preserve"> </w:t>
      </w:r>
      <w:proofErr w:type="spellStart"/>
      <w:r>
        <w:rPr>
          <w:rFonts w:hint="cs"/>
          <w:color w:val="000000" w:themeColor="text1"/>
          <w:rtl/>
        </w:rPr>
        <w:t>-</w:t>
      </w:r>
      <w:proofErr w:type="spellEnd"/>
      <w:r>
        <w:rPr>
          <w:rFonts w:hint="cs"/>
          <w:color w:val="000000" w:themeColor="text1"/>
          <w:rtl/>
        </w:rPr>
        <w:t xml:space="preserve"> </w:t>
      </w:r>
      <w:proofErr w:type="spellStart"/>
      <w:r>
        <w:rPr>
          <w:rFonts w:hint="cs"/>
          <w:color w:val="000000" w:themeColor="text1"/>
          <w:rtl/>
        </w:rPr>
        <w:t>-</w:t>
      </w:r>
      <w:proofErr w:type="spellEnd"/>
      <w:r>
        <w:rPr>
          <w:rFonts w:hint="cs"/>
          <w:color w:val="000000" w:themeColor="text1"/>
          <w:rtl/>
        </w:rPr>
        <w:t xml:space="preserve"> </w:t>
      </w:r>
      <w:proofErr w:type="spellStart"/>
      <w:r>
        <w:rPr>
          <w:rFonts w:hint="cs"/>
          <w:color w:val="000000" w:themeColor="text1"/>
          <w:rtl/>
        </w:rPr>
        <w:t>-</w:t>
      </w:r>
      <w:proofErr w:type="spellEnd"/>
      <w:r>
        <w:rPr>
          <w:rFonts w:hint="cs"/>
          <w:color w:val="000000" w:themeColor="text1"/>
          <w:rtl/>
        </w:rPr>
        <w:t xml:space="preserve"> </w:t>
      </w:r>
      <w:proofErr w:type="spellStart"/>
      <w:r>
        <w:rPr>
          <w:rFonts w:hint="cs"/>
          <w:color w:val="000000" w:themeColor="text1"/>
          <w:rtl/>
        </w:rPr>
        <w:t>-</w:t>
      </w:r>
      <w:proofErr w:type="spellEnd"/>
      <w:r>
        <w:rPr>
          <w:rFonts w:hint="cs"/>
          <w:color w:val="000000" w:themeColor="text1"/>
          <w:rtl/>
        </w:rPr>
        <w:t xml:space="preserve"> </w:t>
      </w:r>
      <w:proofErr w:type="spellStart"/>
      <w:r>
        <w:rPr>
          <w:rFonts w:hint="cs"/>
          <w:color w:val="000000" w:themeColor="text1"/>
          <w:rtl/>
        </w:rPr>
        <w:t>-</w:t>
      </w:r>
      <w:proofErr w:type="spellEnd"/>
      <w:r>
        <w:rPr>
          <w:rFonts w:hint="cs"/>
          <w:color w:val="000000" w:themeColor="text1"/>
          <w:rtl/>
        </w:rPr>
        <w:t xml:space="preserve"> </w:t>
      </w:r>
      <w:proofErr w:type="spellStart"/>
      <w:r>
        <w:rPr>
          <w:rFonts w:hint="cs"/>
          <w:color w:val="000000" w:themeColor="text1"/>
          <w:rtl/>
        </w:rPr>
        <w:t>-</w:t>
      </w:r>
      <w:proofErr w:type="spellEnd"/>
      <w:r>
        <w:rPr>
          <w:rFonts w:hint="cs"/>
          <w:color w:val="000000" w:themeColor="text1"/>
          <w:rtl/>
        </w:rPr>
        <w:t xml:space="preserve"> </w:t>
      </w:r>
      <w:proofErr w:type="spellStart"/>
      <w:r>
        <w:rPr>
          <w:rFonts w:hint="cs"/>
          <w:color w:val="000000" w:themeColor="text1"/>
          <w:rtl/>
        </w:rPr>
        <w:t>-</w:t>
      </w:r>
      <w:proofErr w:type="spellEnd"/>
      <w:r>
        <w:rPr>
          <w:rFonts w:hint="cs"/>
          <w:color w:val="000000" w:themeColor="text1"/>
          <w:rtl/>
        </w:rPr>
        <w:t xml:space="preserve"> </w:t>
      </w:r>
      <w:proofErr w:type="spellStart"/>
      <w:r>
        <w:rPr>
          <w:rFonts w:hint="cs"/>
          <w:color w:val="000000" w:themeColor="text1"/>
          <w:rtl/>
        </w:rPr>
        <w:t>-</w:t>
      </w:r>
      <w:proofErr w:type="spellEnd"/>
      <w:r>
        <w:rPr>
          <w:rFonts w:hint="cs"/>
          <w:color w:val="000000" w:themeColor="text1"/>
          <w:rtl/>
        </w:rPr>
        <w:t xml:space="preserve"> </w:t>
      </w:r>
      <w:proofErr w:type="spellStart"/>
      <w:r>
        <w:rPr>
          <w:rFonts w:hint="cs"/>
          <w:color w:val="000000" w:themeColor="text1"/>
          <w:rtl/>
        </w:rPr>
        <w:t>-</w:t>
      </w:r>
      <w:proofErr w:type="spellEnd"/>
      <w:r>
        <w:rPr>
          <w:rFonts w:hint="cs"/>
          <w:color w:val="000000" w:themeColor="text1"/>
          <w:rtl/>
        </w:rPr>
        <w:t xml:space="preserve"> </w:t>
      </w:r>
      <w:proofErr w:type="spellStart"/>
      <w:r>
        <w:rPr>
          <w:rFonts w:hint="cs"/>
          <w:color w:val="000000" w:themeColor="text1"/>
          <w:rtl/>
        </w:rPr>
        <w:t>-</w:t>
      </w:r>
      <w:proofErr w:type="spellEnd"/>
      <w:r>
        <w:rPr>
          <w:rFonts w:hint="cs"/>
          <w:color w:val="000000" w:themeColor="text1"/>
          <w:rtl/>
        </w:rPr>
        <w:t xml:space="preserve"> </w:t>
      </w:r>
    </w:p>
    <w:p w:rsidR="001F6894" w:rsidRPr="00952F73" w:rsidRDefault="001F6894" w:rsidP="001F6894">
      <w:pPr>
        <w:bidi/>
        <w:spacing w:before="120" w:after="0" w:line="240" w:lineRule="auto"/>
        <w:jc w:val="right"/>
        <w:rPr>
          <w:b/>
          <w:bCs/>
          <w:color w:val="000000" w:themeColor="text1"/>
          <w:sz w:val="26"/>
          <w:szCs w:val="26"/>
          <w:rtl/>
        </w:rPr>
      </w:pPr>
      <w:r w:rsidRPr="0093701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رمز خاص </w:t>
      </w:r>
      <w:proofErr w:type="spellStart"/>
      <w:r w:rsidRPr="0093701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بالإدارة:</w:t>
      </w:r>
      <w:proofErr w:type="spellEnd"/>
      <w:r w:rsidRPr="00952F73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52F73">
        <w:rPr>
          <w:rFonts w:hint="cs"/>
          <w:b/>
          <w:bCs/>
          <w:color w:val="000000" w:themeColor="text1"/>
          <w:sz w:val="10"/>
          <w:szCs w:val="10"/>
          <w:rtl/>
        </w:rPr>
        <w:t>.......................................</w:t>
      </w:r>
      <w:proofErr w:type="spellStart"/>
      <w:r w:rsidRPr="00952F73">
        <w:rPr>
          <w:rFonts w:hint="cs"/>
          <w:b/>
          <w:bCs/>
          <w:color w:val="000000" w:themeColor="text1"/>
          <w:sz w:val="10"/>
          <w:szCs w:val="10"/>
          <w:rtl/>
        </w:rPr>
        <w:t>..</w:t>
      </w:r>
      <w:proofErr w:type="spellEnd"/>
    </w:p>
    <w:tbl>
      <w:tblPr>
        <w:tblStyle w:val="Grilledutableau"/>
        <w:bidiVisual/>
        <w:tblW w:w="11554" w:type="dxa"/>
        <w:jc w:val="center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9"/>
        <w:gridCol w:w="5925"/>
      </w:tblGrid>
      <w:tr w:rsidR="001F6894" w:rsidRPr="00851904" w:rsidTr="00B16BB6">
        <w:trPr>
          <w:jc w:val="center"/>
        </w:trPr>
        <w:tc>
          <w:tcPr>
            <w:tcW w:w="11554" w:type="dxa"/>
            <w:gridSpan w:val="2"/>
            <w:tcBorders>
              <w:bottom w:val="single" w:sz="4" w:space="0" w:color="auto"/>
            </w:tcBorders>
          </w:tcPr>
          <w:p w:rsidR="001F6894" w:rsidRPr="00851904" w:rsidRDefault="001F6894" w:rsidP="00B16BB6">
            <w:pPr>
              <w:tabs>
                <w:tab w:val="left" w:pos="3484"/>
                <w:tab w:val="center" w:pos="5386"/>
              </w:tabs>
              <w:bidi/>
              <w:spacing w:before="120" w:after="120"/>
              <w:rPr>
                <w:rFonts w:ascii="Traditional Arabic" w:eastAsia="Malgun Goth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851904">
              <w:rPr>
                <w:rFonts w:ascii="Traditional Arabic" w:eastAsia="Malgun Gothic" w:hAnsi="Traditional Arabic" w:cs="Traditional Arabic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     </w:t>
            </w:r>
            <w:r w:rsidRPr="00851904">
              <w:rPr>
                <w:rFonts w:ascii="Traditional Arabic" w:eastAsia="Malgun Gothic" w:hAnsi="Traditional Arabic"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Pr="00851904">
              <w:rPr>
                <w:rFonts w:ascii="Traditional Arabic" w:eastAsia="Malgun Goth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51904">
              <w:rPr>
                <w:rFonts w:ascii="Traditional Arabic" w:eastAsia="Malgun Goth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إختر</w:t>
            </w:r>
            <w:proofErr w:type="spellEnd"/>
            <w:r w:rsidRPr="00851904">
              <w:rPr>
                <w:rFonts w:ascii="Traditional Arabic" w:eastAsia="Malgun Goth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إجابة واحدة فقط صحيحة من بين أربع إجابات </w:t>
            </w:r>
            <w:proofErr w:type="spellStart"/>
            <w:r w:rsidRPr="00851904">
              <w:rPr>
                <w:rFonts w:ascii="Traditional Arabic" w:eastAsia="Malgun Goth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معطاة،</w:t>
            </w:r>
            <w:proofErr w:type="spellEnd"/>
            <w:r w:rsidRPr="00851904">
              <w:rPr>
                <w:rFonts w:ascii="Traditional Arabic" w:eastAsia="Malgun Goth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لكل من الأسئلة الموالية:</w:t>
            </w:r>
            <w:r w:rsidRPr="00851904">
              <w:rPr>
                <w:rFonts w:ascii="Traditional Arabic" w:eastAsia="Malgun Gothic" w:hAnsi="Traditional Arabic" w:cs="Traditional Arabic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                          </w:t>
            </w:r>
          </w:p>
        </w:tc>
      </w:tr>
      <w:tr w:rsidR="001F6894" w:rsidRPr="00CA7C3D" w:rsidTr="00B16BB6">
        <w:trPr>
          <w:jc w:val="center"/>
        </w:trPr>
        <w:tc>
          <w:tcPr>
            <w:tcW w:w="11554" w:type="dxa"/>
            <w:gridSpan w:val="2"/>
            <w:tcBorders>
              <w:top w:val="single" w:sz="4" w:space="0" w:color="auto"/>
            </w:tcBorders>
          </w:tcPr>
          <w:p w:rsidR="001F6894" w:rsidRPr="009535FF" w:rsidRDefault="001F6894" w:rsidP="00B16BB6">
            <w:pPr>
              <w:pStyle w:val="Paragraphedeliste"/>
              <w:numPr>
                <w:ilvl w:val="0"/>
                <w:numId w:val="4"/>
              </w:numPr>
              <w:bidi/>
              <w:spacing w:before="60"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CA7C3D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العامل المولد لأثر الرفع </w:t>
            </w:r>
            <w:proofErr w:type="gramStart"/>
            <w:r w:rsidRPr="00CA7C3D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المالي</w:t>
            </w:r>
            <w:proofErr w:type="gramEnd"/>
            <w:r w:rsidRPr="00CA7C3D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يتمثل في الفرق بين</w:t>
            </w:r>
            <w:r w:rsidRPr="009535FF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1F6894" w:rsidRPr="00CA7C3D" w:rsidTr="00B16BB6">
        <w:trPr>
          <w:jc w:val="center"/>
        </w:trPr>
        <w:tc>
          <w:tcPr>
            <w:tcW w:w="5629" w:type="dxa"/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CA7C3D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العائد على حقوق الملكية وتكلفة الاستدانة؛</w:t>
            </w:r>
          </w:p>
        </w:tc>
        <w:tc>
          <w:tcPr>
            <w:tcW w:w="5925" w:type="dxa"/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CA7C3D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العائد على الأصول بعد الضريبة وتكلفة الاستدانة؛</w:t>
            </w:r>
          </w:p>
        </w:tc>
      </w:tr>
      <w:tr w:rsidR="001F6894" w:rsidRPr="00CA7C3D" w:rsidTr="00B16BB6">
        <w:trPr>
          <w:jc w:val="center"/>
        </w:trPr>
        <w:tc>
          <w:tcPr>
            <w:tcW w:w="5629" w:type="dxa"/>
            <w:tcBorders>
              <w:bottom w:val="single" w:sz="4" w:space="0" w:color="000000" w:themeColor="text1"/>
            </w:tcBorders>
          </w:tcPr>
          <w:p w:rsidR="001F6894" w:rsidRPr="001F6894" w:rsidRDefault="001F6894" w:rsidP="001F6894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1F6894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العائد على الأصول وتكلفة الاستدانة؛</w:t>
            </w:r>
          </w:p>
        </w:tc>
        <w:tc>
          <w:tcPr>
            <w:tcW w:w="5925" w:type="dxa"/>
            <w:tcBorders>
              <w:bottom w:val="single" w:sz="4" w:space="0" w:color="000000" w:themeColor="text1"/>
            </w:tcBorders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CA7C3D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العائد على حقوق الملكية والعائد على الأصول بعد الضريبة.</w:t>
            </w:r>
          </w:p>
        </w:tc>
      </w:tr>
      <w:tr w:rsidR="001F6894" w:rsidRPr="00CA7C3D" w:rsidTr="00B16BB6">
        <w:trPr>
          <w:jc w:val="center"/>
        </w:trPr>
        <w:tc>
          <w:tcPr>
            <w:tcW w:w="11554" w:type="dxa"/>
            <w:gridSpan w:val="2"/>
            <w:tcBorders>
              <w:top w:val="single" w:sz="4" w:space="0" w:color="000000" w:themeColor="text1"/>
            </w:tcBorders>
          </w:tcPr>
          <w:p w:rsidR="001F6894" w:rsidRPr="00CA7C3D" w:rsidRDefault="001F6894" w:rsidP="00B16BB6">
            <w:pPr>
              <w:bidi/>
              <w:spacing w:before="60" w:after="120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2</w:t>
            </w:r>
            <w:proofErr w:type="spellStart"/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 w:rsidRPr="00CA7C3D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العنصر الذي لا يمكن تحقيق 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وفورات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ضريبية من 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ورائه،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هو</w:t>
            </w:r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1F6894" w:rsidRPr="00CA7C3D" w:rsidTr="00B16BB6">
        <w:trPr>
          <w:jc w:val="center"/>
        </w:trPr>
        <w:tc>
          <w:tcPr>
            <w:tcW w:w="5629" w:type="dxa"/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3"/>
              </w:numPr>
              <w:bidi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عبء الفائدة على القروض؛</w:t>
            </w:r>
          </w:p>
        </w:tc>
        <w:tc>
          <w:tcPr>
            <w:tcW w:w="5925" w:type="dxa"/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المدفوعات السنوية للاستئجار؛</w:t>
            </w:r>
          </w:p>
        </w:tc>
      </w:tr>
      <w:tr w:rsidR="001F6894" w:rsidRPr="00CA7C3D" w:rsidTr="00B16BB6">
        <w:trPr>
          <w:jc w:val="center"/>
        </w:trPr>
        <w:tc>
          <w:tcPr>
            <w:tcW w:w="5629" w:type="dxa"/>
            <w:tcBorders>
              <w:bottom w:val="single" w:sz="4" w:space="0" w:color="000000" w:themeColor="text1"/>
            </w:tcBorders>
          </w:tcPr>
          <w:p w:rsidR="001F6894" w:rsidRPr="001F6894" w:rsidRDefault="001F6894" w:rsidP="001F6894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1F6894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القسط السنوي لاستهلاك القرض؛</w:t>
            </w:r>
          </w:p>
        </w:tc>
        <w:tc>
          <w:tcPr>
            <w:tcW w:w="5925" w:type="dxa"/>
            <w:tcBorders>
              <w:bottom w:val="single" w:sz="4" w:space="0" w:color="000000" w:themeColor="text1"/>
            </w:tcBorders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مصروف 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الاهتلاك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1F6894" w:rsidRPr="00CA7C3D" w:rsidTr="00B16BB6">
        <w:trPr>
          <w:jc w:val="center"/>
        </w:trPr>
        <w:tc>
          <w:tcPr>
            <w:tcW w:w="11554" w:type="dxa"/>
            <w:gridSpan w:val="2"/>
            <w:tcBorders>
              <w:top w:val="single" w:sz="4" w:space="0" w:color="000000" w:themeColor="text1"/>
            </w:tcBorders>
          </w:tcPr>
          <w:p w:rsidR="001F6894" w:rsidRPr="00CA7C3D" w:rsidRDefault="001F6894" w:rsidP="00B16BB6">
            <w:pPr>
              <w:bidi/>
              <w:spacing w:before="60" w:after="120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3</w:t>
            </w:r>
            <w:proofErr w:type="spellStart"/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المؤسسة التي </w:t>
            </w:r>
            <w:proofErr w:type="gram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تركز</w:t>
            </w:r>
            <w:proofErr w:type="gram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على </w:t>
            </w:r>
            <w:r w:rsidRPr="00E453A6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تعظيم ثروة</w:t>
            </w:r>
            <w:r w:rsidRPr="00E453A6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F4FBD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أصحاب </w:t>
            </w:r>
            <w:proofErr w:type="spellStart"/>
            <w:r w:rsidRPr="004F4FBD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المصلحة</w:t>
            </w: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،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تتميز عن منافسيها 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بـ</w:t>
            </w:r>
            <w:proofErr w:type="spellEnd"/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1F6894" w:rsidRPr="00CA7C3D" w:rsidTr="00B16BB6">
        <w:trPr>
          <w:jc w:val="center"/>
        </w:trPr>
        <w:tc>
          <w:tcPr>
            <w:tcW w:w="5629" w:type="dxa"/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تقديم</w:t>
            </w:r>
            <w:proofErr w:type="gram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أكبر منفعة لعملائها؛</w:t>
            </w:r>
          </w:p>
        </w:tc>
        <w:tc>
          <w:tcPr>
            <w:tcW w:w="5925" w:type="dxa"/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تحقيق</w:t>
            </w:r>
            <w:proofErr w:type="gram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أكبر ربح للوحدة؛</w:t>
            </w:r>
          </w:p>
        </w:tc>
      </w:tr>
      <w:tr w:rsidR="001F6894" w:rsidRPr="00CA7C3D" w:rsidTr="00B16BB6">
        <w:trPr>
          <w:jc w:val="center"/>
        </w:trPr>
        <w:tc>
          <w:tcPr>
            <w:tcW w:w="5629" w:type="dxa"/>
            <w:tcBorders>
              <w:bottom w:val="single" w:sz="4" w:space="0" w:color="000000" w:themeColor="text1"/>
            </w:tcBorders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3"/>
              </w:numPr>
              <w:bidi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تحقيق أقل تكلفة؛</w:t>
            </w:r>
          </w:p>
        </w:tc>
        <w:tc>
          <w:tcPr>
            <w:tcW w:w="5925" w:type="dxa"/>
            <w:tcBorders>
              <w:bottom w:val="single" w:sz="4" w:space="0" w:color="000000" w:themeColor="text1"/>
            </w:tcBorders>
          </w:tcPr>
          <w:p w:rsidR="001F6894" w:rsidRPr="001F6894" w:rsidRDefault="001F6894" w:rsidP="001F6894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1F6894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كل ما سبق.</w:t>
            </w:r>
          </w:p>
        </w:tc>
      </w:tr>
      <w:tr w:rsidR="001F6894" w:rsidRPr="00CA7C3D" w:rsidTr="00B16BB6">
        <w:trPr>
          <w:jc w:val="center"/>
        </w:trPr>
        <w:tc>
          <w:tcPr>
            <w:tcW w:w="11554" w:type="dxa"/>
            <w:gridSpan w:val="2"/>
            <w:tcBorders>
              <w:top w:val="single" w:sz="4" w:space="0" w:color="000000" w:themeColor="text1"/>
            </w:tcBorders>
          </w:tcPr>
          <w:p w:rsidR="001F6894" w:rsidRPr="00CA7C3D" w:rsidRDefault="001F6894" w:rsidP="00B16BB6">
            <w:pPr>
              <w:bidi/>
              <w:spacing w:before="60" w:after="120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4</w:t>
            </w:r>
            <w:proofErr w:type="spellStart"/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قد</w:t>
            </w:r>
            <w:proofErr w:type="gram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يطلق مصطلح الإدارة المالية على كل من "الوظيفة 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المالية"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و"الدائرة 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المالية"،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ولكن</w:t>
            </w:r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1F6894" w:rsidRPr="00CA7C3D" w:rsidTr="00B16BB6">
        <w:trPr>
          <w:jc w:val="center"/>
        </w:trPr>
        <w:tc>
          <w:tcPr>
            <w:tcW w:w="5629" w:type="dxa"/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مفهوم </w:t>
            </w:r>
            <w:proofErr w:type="gram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الدائرة</w:t>
            </w:r>
            <w:proofErr w:type="gram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المالية أكثر شمولا من مفهوم الوظيفة المالية؛</w:t>
            </w:r>
          </w:p>
        </w:tc>
        <w:tc>
          <w:tcPr>
            <w:tcW w:w="5925" w:type="dxa"/>
          </w:tcPr>
          <w:p w:rsidR="001F6894" w:rsidRPr="001F6894" w:rsidRDefault="001F6894" w:rsidP="001F6894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1F6894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مفهوم الوظيفة المالية أكثر شمولا من مفهوم الدائرة المالية؛</w:t>
            </w:r>
          </w:p>
        </w:tc>
      </w:tr>
      <w:tr w:rsidR="001F6894" w:rsidRPr="00CA7C3D" w:rsidTr="00B16BB6">
        <w:trPr>
          <w:jc w:val="center"/>
        </w:trPr>
        <w:tc>
          <w:tcPr>
            <w:tcW w:w="5629" w:type="dxa"/>
            <w:tcBorders>
              <w:bottom w:val="single" w:sz="4" w:space="0" w:color="000000" w:themeColor="text1"/>
            </w:tcBorders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1"/>
              </w:numPr>
              <w:bidi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إطلاق هذا المصطلح على الدائرة المالية خطأ شائع؛</w:t>
            </w:r>
          </w:p>
        </w:tc>
        <w:tc>
          <w:tcPr>
            <w:tcW w:w="5925" w:type="dxa"/>
            <w:tcBorders>
              <w:bottom w:val="single" w:sz="4" w:space="0" w:color="000000" w:themeColor="text1"/>
            </w:tcBorders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إطلاق هذا المصطلح على الوظيفة المالية خطأ شائع.</w:t>
            </w:r>
          </w:p>
        </w:tc>
      </w:tr>
      <w:tr w:rsidR="001F6894" w:rsidRPr="00CA7C3D" w:rsidTr="00B16BB6">
        <w:trPr>
          <w:jc w:val="center"/>
        </w:trPr>
        <w:tc>
          <w:tcPr>
            <w:tcW w:w="11554" w:type="dxa"/>
            <w:gridSpan w:val="2"/>
            <w:tcBorders>
              <w:top w:val="single" w:sz="4" w:space="0" w:color="000000" w:themeColor="text1"/>
            </w:tcBorders>
          </w:tcPr>
          <w:p w:rsidR="001F6894" w:rsidRPr="00CA7C3D" w:rsidRDefault="001F6894" w:rsidP="00B16BB6">
            <w:pPr>
              <w:bidi/>
              <w:spacing w:before="60" w:after="120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5</w:t>
            </w:r>
            <w:proofErr w:type="spellStart"/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 w:rsidRPr="00CA7C3D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المصدر التمويلي الذي لا يتضمنه مخطط التمويل </w:t>
            </w:r>
            <w:r w:rsidRPr="00B730E5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الأولي</w:t>
            </w: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ضمن 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موارده،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هو</w:t>
            </w:r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1F6894" w:rsidRPr="00CA7C3D" w:rsidTr="00B16BB6">
        <w:trPr>
          <w:jc w:val="center"/>
        </w:trPr>
        <w:tc>
          <w:tcPr>
            <w:tcW w:w="5629" w:type="dxa"/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إصدار</w:t>
            </w:r>
            <w:proofErr w:type="gram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أسهم جديدة؛</w:t>
            </w:r>
          </w:p>
        </w:tc>
        <w:tc>
          <w:tcPr>
            <w:tcW w:w="5925" w:type="dxa"/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الاستفادة من إعانات استثمار؛</w:t>
            </w:r>
          </w:p>
        </w:tc>
      </w:tr>
      <w:tr w:rsidR="001F6894" w:rsidRPr="00CA7C3D" w:rsidTr="00B16BB6">
        <w:trPr>
          <w:jc w:val="center"/>
        </w:trPr>
        <w:tc>
          <w:tcPr>
            <w:tcW w:w="5629" w:type="dxa"/>
            <w:tcBorders>
              <w:bottom w:val="single" w:sz="4" w:space="0" w:color="000000" w:themeColor="text1"/>
            </w:tcBorders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2"/>
              </w:numPr>
              <w:bidi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الحصول على قروض جديدة؛</w:t>
            </w:r>
          </w:p>
        </w:tc>
        <w:tc>
          <w:tcPr>
            <w:tcW w:w="5925" w:type="dxa"/>
            <w:tcBorders>
              <w:bottom w:val="single" w:sz="4" w:space="0" w:color="000000" w:themeColor="text1"/>
            </w:tcBorders>
          </w:tcPr>
          <w:p w:rsidR="001F6894" w:rsidRPr="001F6894" w:rsidRDefault="001F6894" w:rsidP="001F6894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1F6894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كل ما سبق.</w:t>
            </w:r>
          </w:p>
        </w:tc>
      </w:tr>
      <w:tr w:rsidR="001F6894" w:rsidRPr="00851904" w:rsidTr="00B16BB6">
        <w:trPr>
          <w:jc w:val="center"/>
        </w:trPr>
        <w:tc>
          <w:tcPr>
            <w:tcW w:w="11554" w:type="dxa"/>
            <w:gridSpan w:val="2"/>
            <w:tcBorders>
              <w:top w:val="single" w:sz="4" w:space="0" w:color="000000" w:themeColor="text1"/>
            </w:tcBorders>
          </w:tcPr>
          <w:p w:rsidR="001F6894" w:rsidRPr="00CA7C3D" w:rsidRDefault="001F6894" w:rsidP="00B16BB6">
            <w:pPr>
              <w:bidi/>
              <w:spacing w:before="60" w:after="120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6</w:t>
            </w:r>
            <w:proofErr w:type="spellStart"/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 w:rsidRPr="00CA7C3D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المصدر المستحدث الذي تلجأ إليه المؤسسات الناشئة كبديل تام عن 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الاقتراض،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هو</w:t>
            </w:r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1F6894" w:rsidRPr="00851904" w:rsidTr="00B16BB6">
        <w:trPr>
          <w:jc w:val="center"/>
        </w:trPr>
        <w:tc>
          <w:tcPr>
            <w:tcW w:w="5629" w:type="dxa"/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الإستئجار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التشغيلي؛</w:t>
            </w:r>
          </w:p>
        </w:tc>
        <w:tc>
          <w:tcPr>
            <w:tcW w:w="5925" w:type="dxa"/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رأس المال </w:t>
            </w:r>
            <w:proofErr w:type="gram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المخاطر</w:t>
            </w:r>
            <w:proofErr w:type="gram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؛</w:t>
            </w:r>
          </w:p>
        </w:tc>
      </w:tr>
      <w:tr w:rsidR="001F6894" w:rsidRPr="00851904" w:rsidTr="00B16BB6">
        <w:trPr>
          <w:jc w:val="center"/>
        </w:trPr>
        <w:tc>
          <w:tcPr>
            <w:tcW w:w="5629" w:type="dxa"/>
            <w:tcBorders>
              <w:bottom w:val="single" w:sz="4" w:space="0" w:color="000000" w:themeColor="text1"/>
            </w:tcBorders>
          </w:tcPr>
          <w:p w:rsidR="001F6894" w:rsidRPr="001F6894" w:rsidRDefault="001F6894" w:rsidP="001F6894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1F6894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التمويل</w:t>
            </w:r>
            <w:proofErr w:type="gramEnd"/>
            <w:r w:rsidRPr="001F6894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العيني؛</w:t>
            </w:r>
          </w:p>
        </w:tc>
        <w:tc>
          <w:tcPr>
            <w:tcW w:w="5925" w:type="dxa"/>
            <w:tcBorders>
              <w:bottom w:val="single" w:sz="4" w:space="0" w:color="000000" w:themeColor="text1"/>
            </w:tcBorders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لا شيء مما سبق.</w:t>
            </w:r>
          </w:p>
        </w:tc>
      </w:tr>
      <w:tr w:rsidR="001F6894" w:rsidRPr="00851904" w:rsidTr="00B16BB6">
        <w:trPr>
          <w:jc w:val="center"/>
        </w:trPr>
        <w:tc>
          <w:tcPr>
            <w:tcW w:w="11554" w:type="dxa"/>
            <w:gridSpan w:val="2"/>
            <w:tcBorders>
              <w:top w:val="single" w:sz="4" w:space="0" w:color="000000" w:themeColor="text1"/>
            </w:tcBorders>
          </w:tcPr>
          <w:p w:rsidR="001F6894" w:rsidRPr="00CA7C3D" w:rsidRDefault="001F6894" w:rsidP="00B16BB6">
            <w:pPr>
              <w:bidi/>
              <w:spacing w:before="60" w:after="120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7</w:t>
            </w:r>
            <w:proofErr w:type="spellStart"/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 w:rsidRPr="00CA7C3D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يتطلب التخطيط المالي السليم ترتيب 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المهام: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(أ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تحديد حجم الأموال الممكن توفيرها 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داخليا،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(ب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تحديد حجم الأموال التي يجب الحصول عليها من مصادر 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خارجية،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(ج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تحديد الاحتياجات المالية 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اللازمة،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وذلك 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باتباع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المنهجية التالية</w:t>
            </w:r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1F6894" w:rsidRPr="00851904" w:rsidTr="00B16BB6">
        <w:trPr>
          <w:jc w:val="center"/>
        </w:trPr>
        <w:tc>
          <w:tcPr>
            <w:tcW w:w="5629" w:type="dxa"/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1"/>
              </w:numPr>
              <w:bidi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(أ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ثم (ب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ثم (ج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)؛</w:t>
            </w:r>
            <w:proofErr w:type="spellEnd"/>
          </w:p>
        </w:tc>
        <w:tc>
          <w:tcPr>
            <w:tcW w:w="5925" w:type="dxa"/>
          </w:tcPr>
          <w:p w:rsidR="001F6894" w:rsidRPr="001F6894" w:rsidRDefault="001F6894" w:rsidP="001F6894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1F6894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(ج</w:t>
            </w:r>
            <w:proofErr w:type="spellStart"/>
            <w:r w:rsidRPr="001F6894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 w:rsidRPr="001F6894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ثم (أ</w:t>
            </w:r>
            <w:proofErr w:type="spellStart"/>
            <w:r w:rsidRPr="001F6894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 w:rsidRPr="001F6894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ثم (ب</w:t>
            </w:r>
            <w:proofErr w:type="spellStart"/>
            <w:r w:rsidRPr="001F6894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)؛</w:t>
            </w:r>
            <w:proofErr w:type="spellEnd"/>
          </w:p>
        </w:tc>
      </w:tr>
      <w:tr w:rsidR="001F6894" w:rsidRPr="00851904" w:rsidTr="00B16BB6">
        <w:trPr>
          <w:jc w:val="center"/>
        </w:trPr>
        <w:tc>
          <w:tcPr>
            <w:tcW w:w="5629" w:type="dxa"/>
            <w:tcBorders>
              <w:bottom w:val="single" w:sz="4" w:space="0" w:color="000000" w:themeColor="text1"/>
            </w:tcBorders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3"/>
              </w:numPr>
              <w:bidi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(أ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ثم (ج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ثم (ب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)؛</w:t>
            </w:r>
            <w:proofErr w:type="spellEnd"/>
          </w:p>
        </w:tc>
        <w:tc>
          <w:tcPr>
            <w:tcW w:w="5925" w:type="dxa"/>
            <w:tcBorders>
              <w:bottom w:val="single" w:sz="4" w:space="0" w:color="000000" w:themeColor="text1"/>
            </w:tcBorders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(ب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ثم (ج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ثم (أ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).</w:t>
            </w:r>
            <w:proofErr w:type="spellEnd"/>
          </w:p>
        </w:tc>
      </w:tr>
      <w:tr w:rsidR="001F6894" w:rsidRPr="00851904" w:rsidTr="00B16BB6">
        <w:trPr>
          <w:jc w:val="center"/>
        </w:trPr>
        <w:tc>
          <w:tcPr>
            <w:tcW w:w="11554" w:type="dxa"/>
            <w:gridSpan w:val="2"/>
            <w:tcBorders>
              <w:top w:val="single" w:sz="4" w:space="0" w:color="000000" w:themeColor="text1"/>
            </w:tcBorders>
          </w:tcPr>
          <w:p w:rsidR="001F6894" w:rsidRPr="00CA7C3D" w:rsidRDefault="001F6894" w:rsidP="00B16BB6">
            <w:pPr>
              <w:bidi/>
              <w:spacing w:before="60" w:after="120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8</w:t>
            </w:r>
            <w:proofErr w:type="spellStart"/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 w:rsidRPr="00CA7C3D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النسب </w:t>
            </w:r>
            <w:proofErr w:type="gram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المالية</w:t>
            </w:r>
            <w:proofErr w:type="gram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التي تستخدم لقياس قدرة المؤسسة على تحويل الأصول إلى 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إيرادات،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هي</w:t>
            </w:r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1F6894" w:rsidRPr="00851904" w:rsidTr="00B16BB6">
        <w:trPr>
          <w:jc w:val="center"/>
        </w:trPr>
        <w:tc>
          <w:tcPr>
            <w:tcW w:w="5629" w:type="dxa"/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3"/>
              </w:numPr>
              <w:bidi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نسب الربحية؛</w:t>
            </w:r>
          </w:p>
        </w:tc>
        <w:tc>
          <w:tcPr>
            <w:tcW w:w="5925" w:type="dxa"/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نسب الرفع المالي؛</w:t>
            </w:r>
          </w:p>
        </w:tc>
      </w:tr>
      <w:tr w:rsidR="001F6894" w:rsidRPr="00851904" w:rsidTr="00B16BB6">
        <w:trPr>
          <w:jc w:val="center"/>
        </w:trPr>
        <w:tc>
          <w:tcPr>
            <w:tcW w:w="5629" w:type="dxa"/>
            <w:tcBorders>
              <w:bottom w:val="single" w:sz="4" w:space="0" w:color="000000" w:themeColor="text1"/>
            </w:tcBorders>
          </w:tcPr>
          <w:p w:rsidR="001F6894" w:rsidRPr="001F6894" w:rsidRDefault="001F6894" w:rsidP="001F6894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1F6894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نسب النشاط؛</w:t>
            </w:r>
          </w:p>
        </w:tc>
        <w:tc>
          <w:tcPr>
            <w:tcW w:w="5925" w:type="dxa"/>
            <w:tcBorders>
              <w:bottom w:val="single" w:sz="4" w:space="0" w:color="000000" w:themeColor="text1"/>
            </w:tcBorders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نسب السيولة.</w:t>
            </w:r>
          </w:p>
        </w:tc>
      </w:tr>
      <w:tr w:rsidR="001F6894" w:rsidRPr="00851904" w:rsidTr="00B16BB6">
        <w:trPr>
          <w:jc w:val="center"/>
        </w:trPr>
        <w:tc>
          <w:tcPr>
            <w:tcW w:w="11554" w:type="dxa"/>
            <w:gridSpan w:val="2"/>
            <w:tcBorders>
              <w:top w:val="single" w:sz="4" w:space="0" w:color="000000" w:themeColor="text1"/>
            </w:tcBorders>
          </w:tcPr>
          <w:p w:rsidR="001F6894" w:rsidRPr="00CA7C3D" w:rsidRDefault="001F6894" w:rsidP="00B16BB6">
            <w:pPr>
              <w:bidi/>
              <w:spacing w:before="60" w:after="120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CA7C3D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9</w:t>
            </w:r>
            <w:proofErr w:type="spellStart"/>
            <w:r w:rsidRPr="00CA7C3D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 w:rsidRPr="00CA7C3D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تختلف دورة التشغيل في المؤسسة الصناعية عن نظيرتها في </w:t>
            </w:r>
            <w:proofErr w:type="gram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المؤسسة</w:t>
            </w:r>
            <w:proofErr w:type="gram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التجارية،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من حيث</w:t>
            </w:r>
            <w:r w:rsidRPr="00CA7C3D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1F6894" w:rsidRPr="00851904" w:rsidTr="00B16BB6">
        <w:trPr>
          <w:jc w:val="center"/>
        </w:trPr>
        <w:tc>
          <w:tcPr>
            <w:tcW w:w="5629" w:type="dxa"/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امكانية التحصيل من العملاء قبل السداد للموردين؛</w:t>
            </w:r>
          </w:p>
        </w:tc>
        <w:tc>
          <w:tcPr>
            <w:tcW w:w="5925" w:type="dxa"/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احتمال</w:t>
            </w:r>
            <w:proofErr w:type="gram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ألا يكون هناك مدينون نظرا لغياب البيع الآجل؛</w:t>
            </w:r>
          </w:p>
        </w:tc>
      </w:tr>
      <w:tr w:rsidR="001F6894" w:rsidRPr="00851904" w:rsidTr="00B16BB6">
        <w:trPr>
          <w:jc w:val="center"/>
        </w:trPr>
        <w:tc>
          <w:tcPr>
            <w:tcW w:w="5629" w:type="dxa"/>
            <w:tcBorders>
              <w:bottom w:val="single" w:sz="4" w:space="0" w:color="auto"/>
            </w:tcBorders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احتمال</w:t>
            </w:r>
            <w:proofErr w:type="gram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عدم وجود احتياج لرأس المال العامل؛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1F6894" w:rsidRPr="001F6894" w:rsidRDefault="001F6894" w:rsidP="001F6894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1F6894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لا شيء مما سبق.</w:t>
            </w:r>
          </w:p>
        </w:tc>
      </w:tr>
      <w:tr w:rsidR="001F6894" w:rsidRPr="00851904" w:rsidTr="00B16BB6">
        <w:trPr>
          <w:jc w:val="center"/>
        </w:trPr>
        <w:tc>
          <w:tcPr>
            <w:tcW w:w="11554" w:type="dxa"/>
            <w:gridSpan w:val="2"/>
            <w:tcBorders>
              <w:top w:val="single" w:sz="4" w:space="0" w:color="auto"/>
            </w:tcBorders>
          </w:tcPr>
          <w:p w:rsidR="001F6894" w:rsidRPr="00CA7C3D" w:rsidRDefault="001F6894" w:rsidP="00B16BB6">
            <w:pPr>
              <w:bidi/>
              <w:spacing w:before="60" w:after="120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10</w:t>
            </w:r>
            <w:proofErr w:type="spellStart"/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تتشابه الأدوات المالية للأسواق الخاصة مع الأدوات المالية للأسواق 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العامة،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من</w:t>
            </w:r>
            <w:proofErr w:type="gram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حيث كونها</w:t>
            </w:r>
            <w:r w:rsidRPr="00CA7C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1F6894" w:rsidRPr="00851904" w:rsidTr="00B16BB6">
        <w:trPr>
          <w:jc w:val="center"/>
        </w:trPr>
        <w:tc>
          <w:tcPr>
            <w:tcW w:w="5629" w:type="dxa"/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ذات</w:t>
            </w:r>
            <w:proofErr w:type="gram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صيغة قياسية ملائمة للجميع؛</w:t>
            </w:r>
          </w:p>
        </w:tc>
        <w:tc>
          <w:tcPr>
            <w:tcW w:w="5925" w:type="dxa"/>
          </w:tcPr>
          <w:p w:rsidR="001F6894" w:rsidRPr="00DB249C" w:rsidRDefault="001F6894" w:rsidP="00B16BB6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ذات</w:t>
            </w:r>
            <w:proofErr w:type="gramEnd"/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 سيولة كبيرة</w:t>
            </w:r>
            <w:r w:rsidRPr="00DB249C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؛</w:t>
            </w:r>
          </w:p>
        </w:tc>
      </w:tr>
      <w:tr w:rsidR="001F6894" w:rsidRPr="00851904" w:rsidTr="00B16BB6">
        <w:trPr>
          <w:jc w:val="center"/>
        </w:trPr>
        <w:tc>
          <w:tcPr>
            <w:tcW w:w="5629" w:type="dxa"/>
            <w:tcBorders>
              <w:bottom w:val="single" w:sz="4" w:space="0" w:color="000000" w:themeColor="text1"/>
            </w:tcBorders>
          </w:tcPr>
          <w:p w:rsidR="001F6894" w:rsidRPr="001F6894" w:rsidRDefault="001F6894" w:rsidP="001F6894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1F6894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مصدر تمويلي طويل الأجل؛</w:t>
            </w:r>
          </w:p>
        </w:tc>
        <w:tc>
          <w:tcPr>
            <w:tcW w:w="5925" w:type="dxa"/>
            <w:tcBorders>
              <w:bottom w:val="single" w:sz="4" w:space="0" w:color="000000" w:themeColor="text1"/>
            </w:tcBorders>
          </w:tcPr>
          <w:p w:rsidR="001F6894" w:rsidRPr="00CA7C3D" w:rsidRDefault="001F6894" w:rsidP="00B16BB6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0EC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rtl/>
              </w:rPr>
              <w:pict>
                <v:oval id="_x0000_s1027" style="position:absolute;left:0;text-align:left;margin-left:269.45pt;margin-top:8.35pt;width:42.5pt;height:25.5pt;z-index:251663360;mso-position-horizontal-relative:text;mso-position-vertical-relative:text">
                  <v:textbox style="mso-next-textbox:#_x0000_s1027" inset=",.3mm,,.3mm">
                    <w:txbxContent>
                      <w:p w:rsidR="001F6894" w:rsidRPr="00010E49" w:rsidRDefault="001F6894" w:rsidP="001F6894">
                        <w:pPr>
                          <w:spacing w:line="480" w:lineRule="auto"/>
                          <w:jc w:val="center"/>
                          <w:rPr>
                            <w:b/>
                            <w:bCs/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1</w:t>
                        </w:r>
                        <w:r w:rsidRPr="00010E49"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/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 w:rsidRPr="00CA7C3D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كل ما سبق.</w:t>
            </w:r>
          </w:p>
        </w:tc>
      </w:tr>
      <w:tr w:rsidR="001F6894" w:rsidRPr="00851904" w:rsidTr="00B16BB6">
        <w:trPr>
          <w:trHeight w:val="227"/>
          <w:jc w:val="center"/>
        </w:trPr>
        <w:tc>
          <w:tcPr>
            <w:tcW w:w="5629" w:type="dxa"/>
            <w:tcBorders>
              <w:bottom w:val="single" w:sz="4" w:space="0" w:color="000000" w:themeColor="text1"/>
            </w:tcBorders>
          </w:tcPr>
          <w:p w:rsidR="001F6894" w:rsidRPr="00CA7C3D" w:rsidRDefault="001F6894" w:rsidP="00B16BB6">
            <w:pPr>
              <w:bidi/>
              <w:ind w:left="357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25" w:type="dxa"/>
            <w:tcBorders>
              <w:bottom w:val="single" w:sz="4" w:space="0" w:color="000000" w:themeColor="text1"/>
            </w:tcBorders>
          </w:tcPr>
          <w:p w:rsidR="001F6894" w:rsidRPr="00CA7C3D" w:rsidRDefault="001F6894" w:rsidP="00B16BB6">
            <w:pPr>
              <w:bidi/>
              <w:ind w:left="36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1F6894" w:rsidRPr="00851904" w:rsidTr="00B16BB6">
        <w:trPr>
          <w:jc w:val="center"/>
        </w:trPr>
        <w:tc>
          <w:tcPr>
            <w:tcW w:w="5629" w:type="dxa"/>
            <w:tcBorders>
              <w:bottom w:val="single" w:sz="4" w:space="0" w:color="000000" w:themeColor="text1"/>
            </w:tcBorders>
          </w:tcPr>
          <w:p w:rsidR="001F6894" w:rsidRPr="0092436D" w:rsidRDefault="001F6894" w:rsidP="00B16BB6">
            <w:pPr>
              <w:bidi/>
              <w:ind w:left="357"/>
              <w:rPr>
                <w:rFonts w:asciiTheme="minorHAnsi" w:hAnsiTheme="minorHAnsi" w:cstheme="minorHAnsi"/>
                <w:color w:val="000000" w:themeColor="text1"/>
                <w:rtl/>
              </w:rPr>
            </w:pPr>
          </w:p>
        </w:tc>
        <w:tc>
          <w:tcPr>
            <w:tcW w:w="5925" w:type="dxa"/>
            <w:tcBorders>
              <w:bottom w:val="single" w:sz="4" w:space="0" w:color="000000" w:themeColor="text1"/>
            </w:tcBorders>
          </w:tcPr>
          <w:p w:rsidR="001F6894" w:rsidRPr="0092436D" w:rsidRDefault="001F6894" w:rsidP="00B16BB6">
            <w:pPr>
              <w:bidi/>
              <w:ind w:left="360"/>
              <w:rPr>
                <w:rFonts w:asciiTheme="minorHAnsi" w:hAnsiTheme="minorHAnsi" w:cstheme="minorHAnsi"/>
                <w:color w:val="000000" w:themeColor="text1"/>
                <w:rtl/>
              </w:rPr>
            </w:pPr>
          </w:p>
        </w:tc>
      </w:tr>
      <w:tr w:rsidR="001F6894" w:rsidRPr="00851904" w:rsidTr="00B16BB6">
        <w:trPr>
          <w:jc w:val="center"/>
        </w:trPr>
        <w:tc>
          <w:tcPr>
            <w:tcW w:w="5629" w:type="dxa"/>
            <w:tcBorders>
              <w:bottom w:val="single" w:sz="4" w:space="0" w:color="000000" w:themeColor="text1"/>
            </w:tcBorders>
          </w:tcPr>
          <w:p w:rsidR="001F6894" w:rsidRPr="0092436D" w:rsidRDefault="001F6894" w:rsidP="00B16BB6">
            <w:pPr>
              <w:bidi/>
              <w:ind w:left="357"/>
              <w:rPr>
                <w:rFonts w:asciiTheme="minorHAnsi" w:hAnsiTheme="minorHAnsi" w:cstheme="minorHAnsi"/>
                <w:color w:val="000000" w:themeColor="text1"/>
                <w:rtl/>
              </w:rPr>
            </w:pPr>
          </w:p>
        </w:tc>
        <w:tc>
          <w:tcPr>
            <w:tcW w:w="5925" w:type="dxa"/>
            <w:tcBorders>
              <w:bottom w:val="single" w:sz="4" w:space="0" w:color="000000" w:themeColor="text1"/>
            </w:tcBorders>
          </w:tcPr>
          <w:p w:rsidR="001F6894" w:rsidRPr="0092436D" w:rsidRDefault="001F6894" w:rsidP="00B16BB6">
            <w:pPr>
              <w:bidi/>
              <w:ind w:left="360"/>
              <w:rPr>
                <w:rFonts w:asciiTheme="minorHAnsi" w:hAnsiTheme="minorHAnsi" w:cstheme="minorHAnsi"/>
                <w:color w:val="000000" w:themeColor="text1"/>
                <w:rtl/>
              </w:rPr>
            </w:pPr>
          </w:p>
        </w:tc>
      </w:tr>
      <w:tr w:rsidR="001F6894" w:rsidRPr="00851904" w:rsidTr="00B16BB6">
        <w:trPr>
          <w:jc w:val="center"/>
        </w:trPr>
        <w:tc>
          <w:tcPr>
            <w:tcW w:w="5629" w:type="dxa"/>
            <w:tcBorders>
              <w:bottom w:val="single" w:sz="4" w:space="0" w:color="000000" w:themeColor="text1"/>
            </w:tcBorders>
          </w:tcPr>
          <w:p w:rsidR="001F6894" w:rsidRPr="0092436D" w:rsidRDefault="001F6894" w:rsidP="00B16BB6">
            <w:pPr>
              <w:bidi/>
              <w:ind w:left="357"/>
              <w:rPr>
                <w:rFonts w:asciiTheme="minorHAnsi" w:hAnsiTheme="minorHAnsi" w:cstheme="minorHAnsi"/>
                <w:color w:val="000000" w:themeColor="text1"/>
                <w:rtl/>
              </w:rPr>
            </w:pPr>
          </w:p>
        </w:tc>
        <w:tc>
          <w:tcPr>
            <w:tcW w:w="5925" w:type="dxa"/>
            <w:tcBorders>
              <w:bottom w:val="single" w:sz="4" w:space="0" w:color="000000" w:themeColor="text1"/>
            </w:tcBorders>
          </w:tcPr>
          <w:p w:rsidR="001F6894" w:rsidRPr="0092436D" w:rsidRDefault="001F6894" w:rsidP="00B16BB6">
            <w:pPr>
              <w:bidi/>
              <w:ind w:left="360"/>
              <w:rPr>
                <w:rFonts w:asciiTheme="minorHAnsi" w:hAnsiTheme="minorHAnsi" w:cstheme="minorHAnsi"/>
                <w:color w:val="000000" w:themeColor="text1"/>
                <w:rtl/>
              </w:rPr>
            </w:pPr>
          </w:p>
        </w:tc>
      </w:tr>
      <w:tr w:rsidR="001F6894" w:rsidRPr="00851904" w:rsidTr="00B16BB6">
        <w:trPr>
          <w:jc w:val="center"/>
        </w:trPr>
        <w:tc>
          <w:tcPr>
            <w:tcW w:w="5629" w:type="dxa"/>
            <w:tcBorders>
              <w:bottom w:val="single" w:sz="4" w:space="0" w:color="000000" w:themeColor="text1"/>
            </w:tcBorders>
          </w:tcPr>
          <w:p w:rsidR="001F6894" w:rsidRPr="0092436D" w:rsidRDefault="001F6894" w:rsidP="00B16BB6">
            <w:pPr>
              <w:bidi/>
              <w:ind w:left="357"/>
              <w:rPr>
                <w:rFonts w:asciiTheme="minorHAnsi" w:hAnsiTheme="minorHAnsi" w:cstheme="minorHAnsi"/>
                <w:color w:val="000000" w:themeColor="text1"/>
                <w:rtl/>
              </w:rPr>
            </w:pPr>
          </w:p>
        </w:tc>
        <w:tc>
          <w:tcPr>
            <w:tcW w:w="5925" w:type="dxa"/>
            <w:tcBorders>
              <w:bottom w:val="single" w:sz="4" w:space="0" w:color="000000" w:themeColor="text1"/>
            </w:tcBorders>
          </w:tcPr>
          <w:p w:rsidR="001F6894" w:rsidRPr="0092436D" w:rsidRDefault="001F6894" w:rsidP="00B16BB6">
            <w:pPr>
              <w:bidi/>
              <w:ind w:left="360"/>
              <w:rPr>
                <w:rFonts w:asciiTheme="minorHAnsi" w:hAnsiTheme="minorHAnsi" w:cstheme="minorHAnsi"/>
                <w:color w:val="000000" w:themeColor="text1"/>
                <w:rtl/>
              </w:rPr>
            </w:pPr>
          </w:p>
        </w:tc>
      </w:tr>
      <w:tr w:rsidR="001F6894" w:rsidRPr="00851904" w:rsidTr="00B16BB6">
        <w:trPr>
          <w:jc w:val="center"/>
        </w:trPr>
        <w:tc>
          <w:tcPr>
            <w:tcW w:w="5629" w:type="dxa"/>
            <w:tcBorders>
              <w:bottom w:val="single" w:sz="4" w:space="0" w:color="000000" w:themeColor="text1"/>
            </w:tcBorders>
          </w:tcPr>
          <w:p w:rsidR="001F6894" w:rsidRPr="0092436D" w:rsidRDefault="001F6894" w:rsidP="00B16BB6">
            <w:pPr>
              <w:bidi/>
              <w:ind w:left="357"/>
              <w:rPr>
                <w:rFonts w:asciiTheme="minorHAnsi" w:hAnsiTheme="minorHAnsi" w:cstheme="minorHAnsi"/>
                <w:color w:val="000000" w:themeColor="text1"/>
                <w:rtl/>
              </w:rPr>
            </w:pPr>
          </w:p>
        </w:tc>
        <w:tc>
          <w:tcPr>
            <w:tcW w:w="5925" w:type="dxa"/>
            <w:tcBorders>
              <w:bottom w:val="single" w:sz="4" w:space="0" w:color="000000" w:themeColor="text1"/>
            </w:tcBorders>
          </w:tcPr>
          <w:p w:rsidR="001F6894" w:rsidRPr="0092436D" w:rsidRDefault="001F6894" w:rsidP="00B16BB6">
            <w:pPr>
              <w:bidi/>
              <w:ind w:left="360"/>
              <w:rPr>
                <w:rFonts w:asciiTheme="minorHAnsi" w:hAnsiTheme="minorHAnsi" w:cstheme="minorHAnsi"/>
                <w:color w:val="000000" w:themeColor="text1"/>
                <w:rtl/>
              </w:rPr>
            </w:pPr>
          </w:p>
        </w:tc>
      </w:tr>
      <w:tr w:rsidR="001F6894" w:rsidRPr="00851904" w:rsidTr="00B16BB6">
        <w:trPr>
          <w:jc w:val="center"/>
        </w:trPr>
        <w:tc>
          <w:tcPr>
            <w:tcW w:w="5629" w:type="dxa"/>
            <w:tcBorders>
              <w:bottom w:val="single" w:sz="4" w:space="0" w:color="000000" w:themeColor="text1"/>
            </w:tcBorders>
          </w:tcPr>
          <w:p w:rsidR="001F6894" w:rsidRPr="0092436D" w:rsidRDefault="001F6894" w:rsidP="00B16BB6">
            <w:pPr>
              <w:bidi/>
              <w:ind w:left="357"/>
              <w:rPr>
                <w:rFonts w:asciiTheme="minorHAnsi" w:hAnsiTheme="minorHAnsi" w:cstheme="minorHAnsi"/>
                <w:color w:val="000000" w:themeColor="text1"/>
                <w:rtl/>
              </w:rPr>
            </w:pPr>
          </w:p>
        </w:tc>
        <w:tc>
          <w:tcPr>
            <w:tcW w:w="5925" w:type="dxa"/>
            <w:tcBorders>
              <w:bottom w:val="single" w:sz="4" w:space="0" w:color="000000" w:themeColor="text1"/>
            </w:tcBorders>
          </w:tcPr>
          <w:p w:rsidR="001F6894" w:rsidRPr="0092436D" w:rsidRDefault="001F6894" w:rsidP="00B16BB6">
            <w:pPr>
              <w:bidi/>
              <w:ind w:left="360"/>
              <w:rPr>
                <w:rFonts w:asciiTheme="minorHAnsi" w:hAnsiTheme="minorHAnsi" w:cstheme="minorHAnsi"/>
                <w:color w:val="000000" w:themeColor="text1"/>
                <w:rtl/>
              </w:rPr>
            </w:pPr>
          </w:p>
        </w:tc>
      </w:tr>
      <w:tr w:rsidR="001F6894" w:rsidRPr="00851904" w:rsidTr="00B16BB6">
        <w:trPr>
          <w:trHeight w:val="397"/>
          <w:jc w:val="center"/>
        </w:trPr>
        <w:tc>
          <w:tcPr>
            <w:tcW w:w="11554" w:type="dxa"/>
            <w:gridSpan w:val="2"/>
            <w:tcBorders>
              <w:top w:val="single" w:sz="4" w:space="0" w:color="000000" w:themeColor="text1"/>
            </w:tcBorders>
          </w:tcPr>
          <w:tbl>
            <w:tblPr>
              <w:tblStyle w:val="Grilledutableau"/>
              <w:bidiVisual/>
              <w:tblW w:w="1133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530"/>
              <w:gridCol w:w="5808"/>
            </w:tblGrid>
            <w:tr w:rsidR="001F6894" w:rsidRPr="00851904" w:rsidTr="00B16BB6">
              <w:trPr>
                <w:jc w:val="center"/>
              </w:trPr>
              <w:tc>
                <w:tcPr>
                  <w:tcW w:w="11338" w:type="dxa"/>
                  <w:gridSpan w:val="2"/>
                  <w:tcBorders>
                    <w:top w:val="dashed" w:sz="4" w:space="0" w:color="auto"/>
                  </w:tcBorders>
                </w:tcPr>
                <w:p w:rsidR="001F6894" w:rsidRPr="00CA7C3D" w:rsidRDefault="001F6894" w:rsidP="00B16BB6">
                  <w:pPr>
                    <w:bidi/>
                    <w:spacing w:before="480" w:after="120"/>
                    <w:ind w:left="340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(11</w:t>
                  </w: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)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يساهم </w:t>
                  </w: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الاهتلاك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في</w:t>
                  </w:r>
                  <w:r w:rsidRPr="004F4FB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تمويل الاستثمار في الأصول الثابتة </w:t>
                  </w: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للمؤسسات بنسبة </w:t>
                  </w: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تترواح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ما بين:</w:t>
                  </w:r>
                </w:p>
              </w:tc>
            </w:tr>
            <w:tr w:rsidR="001F6894" w:rsidRPr="00851904" w:rsidTr="00B16BB6">
              <w:trPr>
                <w:jc w:val="center"/>
              </w:trPr>
              <w:tc>
                <w:tcPr>
                  <w:tcW w:w="5530" w:type="dxa"/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70</w:t>
                  </w:r>
                  <w:r w:rsidRPr="00CA7C3D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rtl/>
                    </w:rPr>
                    <w:t>%</w:t>
                  </w:r>
                  <w:proofErr w:type="spellEnd"/>
                  <w:r w:rsidRPr="00CA7C3D">
                    <w:rPr>
                      <w:rFonts w:ascii="Calibri" w:hAnsi="Calibri" w:cs="Calibri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CA7C3D">
                    <w:rPr>
                      <w:rFonts w:ascii="Calibri" w:hAnsi="Calibri" w:cs="Calibri" w:hint="cs"/>
                      <w:color w:val="000000" w:themeColor="text1"/>
                      <w:sz w:val="24"/>
                      <w:szCs w:val="24"/>
                      <w:rtl/>
                    </w:rPr>
                    <w:t>و85</w:t>
                  </w:r>
                  <w:r w:rsidRPr="00CA7C3D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rtl/>
                    </w:rPr>
                    <w:t>%</w:t>
                  </w:r>
                  <w:r w:rsidRPr="00CA7C3D">
                    <w:rPr>
                      <w:rFonts w:ascii="Calibri" w:hAnsi="Calibri" w:cs="Calibri" w:hint="cs"/>
                      <w:color w:val="000000" w:themeColor="text1"/>
                      <w:sz w:val="24"/>
                      <w:szCs w:val="24"/>
                      <w:rtl/>
                    </w:rPr>
                    <w:t>؛</w:t>
                  </w:r>
                  <w:proofErr w:type="spellEnd"/>
                </w:p>
              </w:tc>
              <w:tc>
                <w:tcPr>
                  <w:tcW w:w="5808" w:type="dxa"/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75</w:t>
                  </w:r>
                  <w:r w:rsidRPr="00CA7C3D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rtl/>
                    </w:rPr>
                    <w:t>%</w:t>
                  </w:r>
                  <w:proofErr w:type="spellEnd"/>
                  <w:r w:rsidRPr="00CA7C3D">
                    <w:rPr>
                      <w:rFonts w:ascii="Calibri" w:hAnsi="Calibri" w:cs="Calibri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CA7C3D">
                    <w:rPr>
                      <w:rFonts w:ascii="Calibri" w:hAnsi="Calibri" w:cs="Calibri" w:hint="cs"/>
                      <w:color w:val="000000" w:themeColor="text1"/>
                      <w:sz w:val="24"/>
                      <w:szCs w:val="24"/>
                      <w:rtl/>
                    </w:rPr>
                    <w:t>و90</w:t>
                  </w:r>
                  <w:r w:rsidRPr="00CA7C3D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rtl/>
                    </w:rPr>
                    <w:t>%</w:t>
                  </w:r>
                  <w:r w:rsidRPr="00CA7C3D">
                    <w:rPr>
                      <w:rFonts w:ascii="Calibri" w:hAnsi="Calibri" w:cs="Calibri" w:hint="cs"/>
                      <w:color w:val="000000" w:themeColor="text1"/>
                      <w:sz w:val="24"/>
                      <w:szCs w:val="24"/>
                      <w:rtl/>
                    </w:rPr>
                    <w:t>؛</w:t>
                  </w:r>
                  <w:proofErr w:type="spellEnd"/>
                </w:p>
              </w:tc>
            </w:tr>
            <w:tr w:rsidR="001F6894" w:rsidRPr="00851904" w:rsidTr="00B16BB6">
              <w:trPr>
                <w:jc w:val="center"/>
              </w:trPr>
              <w:tc>
                <w:tcPr>
                  <w:tcW w:w="5530" w:type="dxa"/>
                  <w:tcBorders>
                    <w:bottom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80</w:t>
                  </w:r>
                  <w:r w:rsidRPr="00CA7C3D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rtl/>
                    </w:rPr>
                    <w:t>%</w:t>
                  </w:r>
                  <w:proofErr w:type="spellEnd"/>
                  <w:r w:rsidRPr="00CA7C3D">
                    <w:rPr>
                      <w:rFonts w:ascii="Calibri" w:hAnsi="Calibri" w:cs="Calibri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CA7C3D">
                    <w:rPr>
                      <w:rFonts w:ascii="Calibri" w:hAnsi="Calibri" w:cs="Calibri" w:hint="cs"/>
                      <w:color w:val="000000" w:themeColor="text1"/>
                      <w:sz w:val="24"/>
                      <w:szCs w:val="24"/>
                      <w:rtl/>
                    </w:rPr>
                    <w:t>و100</w:t>
                  </w:r>
                  <w:r w:rsidRPr="00CA7C3D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rtl/>
                    </w:rPr>
                    <w:t>%</w:t>
                  </w:r>
                  <w:r w:rsidRPr="00CA7C3D">
                    <w:rPr>
                      <w:rFonts w:ascii="Calibri" w:hAnsi="Calibri" w:cs="Calibri" w:hint="cs"/>
                      <w:color w:val="000000" w:themeColor="text1"/>
                      <w:sz w:val="24"/>
                      <w:szCs w:val="24"/>
                      <w:rtl/>
                    </w:rPr>
                    <w:t>؛</w:t>
                  </w:r>
                  <w:proofErr w:type="spellEnd"/>
                </w:p>
              </w:tc>
              <w:tc>
                <w:tcPr>
                  <w:tcW w:w="5808" w:type="dxa"/>
                  <w:tcBorders>
                    <w:bottom w:val="single" w:sz="4" w:space="0" w:color="000000" w:themeColor="text1"/>
                  </w:tcBorders>
                </w:tcPr>
                <w:p w:rsidR="001F6894" w:rsidRPr="001F6894" w:rsidRDefault="001F6894" w:rsidP="001F6894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proofErr w:type="spellStart"/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50</w:t>
                  </w:r>
                  <w:r w:rsidRPr="001F6894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rtl/>
                    </w:rPr>
                    <w:t>%</w:t>
                  </w:r>
                  <w:proofErr w:type="spellEnd"/>
                  <w:r w:rsidRPr="001F6894">
                    <w:rPr>
                      <w:rFonts w:ascii="Calibri" w:hAnsi="Calibri" w:cs="Calibri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1F6894">
                    <w:rPr>
                      <w:rFonts w:ascii="Calibri" w:hAnsi="Calibri" w:cs="Calibri" w:hint="cs"/>
                      <w:color w:val="000000" w:themeColor="text1"/>
                      <w:sz w:val="24"/>
                      <w:szCs w:val="24"/>
                      <w:rtl/>
                    </w:rPr>
                    <w:t>و80</w:t>
                  </w:r>
                  <w:r w:rsidRPr="001F6894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rtl/>
                    </w:rPr>
                    <w:t>%</w:t>
                  </w:r>
                  <w:r w:rsidRPr="001F6894">
                    <w:rPr>
                      <w:rFonts w:ascii="Calibri" w:hAnsi="Calibri" w:cs="Calibri" w:hint="cs"/>
                      <w:color w:val="000000" w:themeColor="text1"/>
                      <w:sz w:val="24"/>
                      <w:szCs w:val="24"/>
                      <w:rtl/>
                    </w:rPr>
                    <w:t>.</w:t>
                  </w:r>
                  <w:proofErr w:type="spellEnd"/>
                </w:p>
              </w:tc>
            </w:tr>
            <w:tr w:rsidR="001F6894" w:rsidRPr="00CA7C3D" w:rsidTr="00B16BB6">
              <w:trPr>
                <w:jc w:val="center"/>
              </w:trPr>
              <w:tc>
                <w:tcPr>
                  <w:tcW w:w="11338" w:type="dxa"/>
                  <w:gridSpan w:val="2"/>
                  <w:tcBorders>
                    <w:top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bidi/>
                    <w:spacing w:before="60" w:after="120"/>
                    <w:ind w:left="340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(1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2</w:t>
                  </w: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)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يتميز نموذج التدفقات النقدية </w:t>
                  </w:r>
                  <w:proofErr w:type="spellStart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المخصومة،</w:t>
                  </w:r>
                  <w:proofErr w:type="spellEnd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في تقدير تكلفة التمويل </w:t>
                  </w:r>
                  <w:proofErr w:type="spellStart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بالأسهم،</w:t>
                  </w:r>
                  <w:proofErr w:type="spellEnd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عن نموذج تسعير الأصول </w:t>
                  </w:r>
                  <w:proofErr w:type="spellStart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الرأسمالية،</w:t>
                  </w:r>
                  <w:proofErr w:type="spellEnd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في أن الأول</w:t>
                  </w: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1F6894" w:rsidRPr="00CA7C3D" w:rsidTr="00B16BB6">
              <w:trPr>
                <w:jc w:val="center"/>
              </w:trPr>
              <w:tc>
                <w:tcPr>
                  <w:tcW w:w="5530" w:type="dxa"/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يأخذ المخاطرة السوقية بعين الاعتبار</w:t>
                  </w: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؛</w:t>
                  </w:r>
                </w:p>
              </w:tc>
              <w:tc>
                <w:tcPr>
                  <w:tcW w:w="5808" w:type="dxa"/>
                </w:tcPr>
                <w:p w:rsidR="001F6894" w:rsidRPr="001F6894" w:rsidRDefault="001F6894" w:rsidP="001F6894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يستخدم سعر السوق كبديل للمخاطرة </w:t>
                  </w:r>
                  <w:proofErr w:type="gramStart"/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المتوقعة</w:t>
                  </w:r>
                  <w:proofErr w:type="gramEnd"/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؛</w:t>
                  </w:r>
                </w:p>
              </w:tc>
            </w:tr>
            <w:tr w:rsidR="001F6894" w:rsidRPr="00CA7C3D" w:rsidTr="00B16BB6">
              <w:trPr>
                <w:jc w:val="center"/>
              </w:trPr>
              <w:tc>
                <w:tcPr>
                  <w:tcW w:w="5530" w:type="dxa"/>
                  <w:tcBorders>
                    <w:bottom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لا يأخذ تكاليف الإصدار بعين </w:t>
                  </w:r>
                  <w:proofErr w:type="gramStart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الاعتبار</w:t>
                  </w:r>
                  <w:proofErr w:type="gram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؛</w:t>
                  </w:r>
                </w:p>
              </w:tc>
              <w:tc>
                <w:tcPr>
                  <w:tcW w:w="5808" w:type="dxa"/>
                  <w:tcBorders>
                    <w:bottom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كل ما سبق.</w:t>
                  </w:r>
                </w:p>
              </w:tc>
            </w:tr>
            <w:tr w:rsidR="001F6894" w:rsidRPr="00CA7C3D" w:rsidTr="00B16BB6">
              <w:trPr>
                <w:jc w:val="center"/>
              </w:trPr>
              <w:tc>
                <w:tcPr>
                  <w:tcW w:w="11338" w:type="dxa"/>
                  <w:gridSpan w:val="2"/>
                  <w:tcBorders>
                    <w:top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bidi/>
                    <w:spacing w:before="60" w:after="120"/>
                    <w:ind w:left="340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(1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3</w:t>
                  </w: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)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تراجعت الأهمية النسبية للتمويل </w:t>
                  </w:r>
                  <w:proofErr w:type="spellStart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بالإقتراض</w:t>
                  </w:r>
                  <w:proofErr w:type="spellEnd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من البنوك لدى </w:t>
                  </w:r>
                  <w:proofErr w:type="spellStart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المؤسسات،</w:t>
                  </w:r>
                  <w:proofErr w:type="spellEnd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بسبب</w:t>
                  </w: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1F6894" w:rsidRPr="00CA7C3D" w:rsidTr="00B16BB6">
              <w:trPr>
                <w:jc w:val="center"/>
              </w:trPr>
              <w:tc>
                <w:tcPr>
                  <w:tcW w:w="5530" w:type="dxa"/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proofErr w:type="spellStart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إنخفاض</w:t>
                  </w:r>
                  <w:proofErr w:type="spellEnd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هامش الوساطة المالية؛</w:t>
                  </w:r>
                </w:p>
              </w:tc>
              <w:tc>
                <w:tcPr>
                  <w:tcW w:w="5808" w:type="dxa"/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بروز صناديق ضمان القروض إلى الوجود؛</w:t>
                  </w:r>
                </w:p>
              </w:tc>
            </w:tr>
            <w:tr w:rsidR="001F6894" w:rsidRPr="00CA7C3D" w:rsidTr="00B16BB6">
              <w:trPr>
                <w:jc w:val="center"/>
              </w:trPr>
              <w:tc>
                <w:tcPr>
                  <w:tcW w:w="5530" w:type="dxa"/>
                  <w:tcBorders>
                    <w:bottom w:val="single" w:sz="4" w:space="0" w:color="000000" w:themeColor="text1"/>
                  </w:tcBorders>
                </w:tcPr>
                <w:p w:rsidR="001F6894" w:rsidRPr="001F6894" w:rsidRDefault="001F6894" w:rsidP="001F6894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نفور البنوك من المخاطرة؛</w:t>
                  </w:r>
                </w:p>
              </w:tc>
              <w:tc>
                <w:tcPr>
                  <w:tcW w:w="5808" w:type="dxa"/>
                  <w:tcBorders>
                    <w:bottom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proofErr w:type="spellStart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قساوة</w:t>
                  </w:r>
                  <w:proofErr w:type="spellEnd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الشروط التي يفرضها التمويل التقليدي على المؤسسات.</w:t>
                  </w:r>
                </w:p>
              </w:tc>
            </w:tr>
            <w:tr w:rsidR="001F6894" w:rsidRPr="00CA7C3D" w:rsidTr="00B16BB6">
              <w:trPr>
                <w:jc w:val="center"/>
              </w:trPr>
              <w:tc>
                <w:tcPr>
                  <w:tcW w:w="11338" w:type="dxa"/>
                  <w:gridSpan w:val="2"/>
                  <w:tcBorders>
                    <w:top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bidi/>
                    <w:spacing w:before="60" w:after="120"/>
                    <w:ind w:left="340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(1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4</w:t>
                  </w: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)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proofErr w:type="gramStart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ليس</w:t>
                  </w:r>
                  <w:proofErr w:type="gramEnd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من مصلحة المؤسسة عند سعيها لتقصير دورة الاستغلال من أجل تحسين السيولة</w:t>
                  </w: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1F6894" w:rsidRPr="00CA7C3D" w:rsidTr="00B16BB6">
              <w:trPr>
                <w:jc w:val="center"/>
              </w:trPr>
              <w:tc>
                <w:tcPr>
                  <w:tcW w:w="5530" w:type="dxa"/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تشجيع العملاء على الدفع نقدا أو في وقت مبكر؛</w:t>
                  </w:r>
                </w:p>
              </w:tc>
              <w:tc>
                <w:tcPr>
                  <w:tcW w:w="5808" w:type="dxa"/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الاستعانة بمصادر خارجية لتوريد المكونات في </w:t>
                  </w:r>
                  <w:proofErr w:type="gramStart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أسرع</w:t>
                  </w:r>
                  <w:proofErr w:type="gramEnd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وقت؛</w:t>
                  </w:r>
                </w:p>
              </w:tc>
            </w:tr>
            <w:tr w:rsidR="001F6894" w:rsidRPr="00CA7C3D" w:rsidTr="00B16BB6">
              <w:trPr>
                <w:jc w:val="center"/>
              </w:trPr>
              <w:tc>
                <w:tcPr>
                  <w:tcW w:w="5530" w:type="dxa"/>
                  <w:tcBorders>
                    <w:bottom w:val="single" w:sz="4" w:space="0" w:color="000000" w:themeColor="text1"/>
                  </w:tcBorders>
                </w:tcPr>
                <w:p w:rsidR="001F6894" w:rsidRPr="001F6894" w:rsidRDefault="001F6894" w:rsidP="001F6894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التفاوض مع الموردين على شروط دفع أقصر؛</w:t>
                  </w:r>
                </w:p>
              </w:tc>
              <w:tc>
                <w:tcPr>
                  <w:tcW w:w="5808" w:type="dxa"/>
                  <w:tcBorders>
                    <w:bottom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الوصول إلى مخزون صفري أو يقترب من الصفر.</w:t>
                  </w:r>
                </w:p>
              </w:tc>
            </w:tr>
            <w:tr w:rsidR="001F6894" w:rsidRPr="00CA7C3D" w:rsidTr="00B16BB6">
              <w:trPr>
                <w:jc w:val="center"/>
              </w:trPr>
              <w:tc>
                <w:tcPr>
                  <w:tcW w:w="11338" w:type="dxa"/>
                  <w:gridSpan w:val="2"/>
                  <w:tcBorders>
                    <w:top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bidi/>
                    <w:spacing w:before="60" w:after="120"/>
                    <w:ind w:left="340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(1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5</w:t>
                  </w: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)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proofErr w:type="gram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تقوم</w:t>
                  </w:r>
                  <w:proofErr w:type="gram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فكرة التحليل المالي باستخدام النسب على إيجاد علاقات كمية في تاريخ </w:t>
                  </w: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معين،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وذلك </w:t>
                  </w: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بين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بيانات:</w:t>
                  </w:r>
                </w:p>
              </w:tc>
            </w:tr>
            <w:tr w:rsidR="001F6894" w:rsidRPr="00CA7C3D" w:rsidTr="00B16BB6">
              <w:trPr>
                <w:jc w:val="center"/>
              </w:trPr>
              <w:tc>
                <w:tcPr>
                  <w:tcW w:w="5530" w:type="dxa"/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الميزانية </w:t>
                  </w:r>
                  <w:proofErr w:type="gram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فحسب</w:t>
                  </w:r>
                  <w:proofErr w:type="gram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؛</w:t>
                  </w:r>
                </w:p>
              </w:tc>
              <w:tc>
                <w:tcPr>
                  <w:tcW w:w="5808" w:type="dxa"/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الميزانية وجدول حساب النتائج معا؛</w:t>
                  </w:r>
                </w:p>
              </w:tc>
            </w:tr>
            <w:tr w:rsidR="001F6894" w:rsidRPr="00CA7C3D" w:rsidTr="00B16BB6">
              <w:trPr>
                <w:jc w:val="center"/>
              </w:trPr>
              <w:tc>
                <w:tcPr>
                  <w:tcW w:w="5530" w:type="dxa"/>
                  <w:tcBorders>
                    <w:bottom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جدول حساب النتائج فحسب؛</w:t>
                  </w:r>
                </w:p>
              </w:tc>
              <w:tc>
                <w:tcPr>
                  <w:tcW w:w="5808" w:type="dxa"/>
                  <w:tcBorders>
                    <w:bottom w:val="single" w:sz="4" w:space="0" w:color="000000" w:themeColor="text1"/>
                  </w:tcBorders>
                </w:tcPr>
                <w:p w:rsidR="001F6894" w:rsidRPr="001F6894" w:rsidRDefault="001F6894" w:rsidP="001F6894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كل ما سبق.</w:t>
                  </w:r>
                </w:p>
              </w:tc>
            </w:tr>
            <w:tr w:rsidR="001F6894" w:rsidRPr="00851904" w:rsidTr="00B16BB6">
              <w:trPr>
                <w:jc w:val="center"/>
              </w:trPr>
              <w:tc>
                <w:tcPr>
                  <w:tcW w:w="11338" w:type="dxa"/>
                  <w:gridSpan w:val="2"/>
                </w:tcPr>
                <w:p w:rsidR="001F6894" w:rsidRPr="00CA7C3D" w:rsidRDefault="001F6894" w:rsidP="00B16BB6">
                  <w:pPr>
                    <w:bidi/>
                    <w:spacing w:before="60" w:after="120"/>
                    <w:ind w:left="340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  <w:t>(</w:t>
                  </w: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1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6</w:t>
                  </w:r>
                  <w:proofErr w:type="spellStart"/>
                  <w:r w:rsidRPr="00CA7C3D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  <w:t>)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ليس من مها</w:t>
                  </w:r>
                  <w:r w:rsidRPr="004F4FB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م </w:t>
                  </w:r>
                  <w:proofErr w:type="gramStart"/>
                  <w:r w:rsidRPr="004F4FB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أمين</w:t>
                  </w:r>
                  <w:proofErr w:type="gramEnd"/>
                  <w:r w:rsidRPr="004F4FB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الخزينة 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في مؤسسة كبيرة الحجم</w:t>
                  </w:r>
                  <w:r w:rsidRPr="00CA7C3D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1F6894" w:rsidRPr="00851904" w:rsidTr="00B16BB6">
              <w:trPr>
                <w:jc w:val="center"/>
              </w:trPr>
              <w:tc>
                <w:tcPr>
                  <w:tcW w:w="5530" w:type="dxa"/>
                </w:tcPr>
                <w:p w:rsidR="001F6894" w:rsidRPr="001F6894" w:rsidRDefault="001F6894" w:rsidP="001F6894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إعداد الإقرارات </w:t>
                  </w:r>
                  <w:proofErr w:type="spellStart"/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الجبائية؛</w:t>
                  </w:r>
                  <w:proofErr w:type="spellEnd"/>
                </w:p>
              </w:tc>
              <w:tc>
                <w:tcPr>
                  <w:tcW w:w="5808" w:type="dxa"/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العلاقة مع مؤسسات التمويل</w:t>
                  </w: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؛</w:t>
                  </w:r>
                </w:p>
              </w:tc>
            </w:tr>
            <w:tr w:rsidR="001F6894" w:rsidRPr="00851904" w:rsidTr="00B16BB6">
              <w:trPr>
                <w:jc w:val="center"/>
              </w:trPr>
              <w:tc>
                <w:tcPr>
                  <w:tcW w:w="5530" w:type="dxa"/>
                  <w:tcBorders>
                    <w:bottom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proofErr w:type="spellStart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الإئتمان</w:t>
                  </w:r>
                  <w:proofErr w:type="spellEnd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والتحصيل</w:t>
                  </w: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؛</w:t>
                  </w:r>
                </w:p>
              </w:tc>
              <w:tc>
                <w:tcPr>
                  <w:tcW w:w="5808" w:type="dxa"/>
                  <w:tcBorders>
                    <w:bottom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كل ما سبق.</w:t>
                  </w:r>
                </w:p>
              </w:tc>
            </w:tr>
            <w:tr w:rsidR="001F6894" w:rsidRPr="00851904" w:rsidTr="00B16BB6">
              <w:trPr>
                <w:jc w:val="center"/>
              </w:trPr>
              <w:tc>
                <w:tcPr>
                  <w:tcW w:w="11338" w:type="dxa"/>
                  <w:gridSpan w:val="2"/>
                  <w:tcBorders>
                    <w:top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bidi/>
                    <w:spacing w:before="60" w:after="120"/>
                    <w:ind w:left="340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(1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7</w:t>
                  </w: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)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المشاريع الاستثمارية التي تعامل على أنها تهدف فقط إلى </w:t>
                  </w:r>
                  <w:r w:rsidRPr="004F4FB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المحافظة على الطاقة الانتاجية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للمؤسسة،</w:t>
                  </w:r>
                  <w:proofErr w:type="spellEnd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هي</w:t>
                  </w: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1F6894" w:rsidRPr="00851904" w:rsidTr="00B16BB6">
              <w:trPr>
                <w:jc w:val="center"/>
              </w:trPr>
              <w:tc>
                <w:tcPr>
                  <w:tcW w:w="5530" w:type="dxa"/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proofErr w:type="gramStart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مشاريع</w:t>
                  </w:r>
                  <w:proofErr w:type="gramEnd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التوسع؛</w:t>
                  </w:r>
                </w:p>
              </w:tc>
              <w:tc>
                <w:tcPr>
                  <w:tcW w:w="5808" w:type="dxa"/>
                </w:tcPr>
                <w:p w:rsidR="001F6894" w:rsidRPr="001F6894" w:rsidRDefault="001F6894" w:rsidP="001F6894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proofErr w:type="gramStart"/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مشاريع</w:t>
                  </w:r>
                  <w:proofErr w:type="gramEnd"/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التجديد والإحلال؛</w:t>
                  </w:r>
                </w:p>
              </w:tc>
            </w:tr>
            <w:tr w:rsidR="001F6894" w:rsidRPr="00851904" w:rsidTr="00B16BB6">
              <w:trPr>
                <w:jc w:val="center"/>
              </w:trPr>
              <w:tc>
                <w:tcPr>
                  <w:tcW w:w="5530" w:type="dxa"/>
                  <w:tcBorders>
                    <w:bottom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proofErr w:type="gramStart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مشاريع</w:t>
                  </w:r>
                  <w:proofErr w:type="gramEnd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التحديث والتطوير؛</w:t>
                  </w:r>
                </w:p>
              </w:tc>
              <w:tc>
                <w:tcPr>
                  <w:tcW w:w="5808" w:type="dxa"/>
                  <w:tcBorders>
                    <w:bottom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مشاريع المحافظة على البيئة.</w:t>
                  </w:r>
                </w:p>
              </w:tc>
            </w:tr>
            <w:tr w:rsidR="001F6894" w:rsidRPr="00851904" w:rsidTr="00B16BB6">
              <w:trPr>
                <w:jc w:val="center"/>
              </w:trPr>
              <w:tc>
                <w:tcPr>
                  <w:tcW w:w="11338" w:type="dxa"/>
                  <w:gridSpan w:val="2"/>
                  <w:tcBorders>
                    <w:top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bidi/>
                    <w:spacing w:before="60" w:after="120"/>
                    <w:ind w:left="340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(1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8</w:t>
                  </w: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)</w:t>
                  </w:r>
                  <w:proofErr w:type="spellEnd"/>
                  <w:r w:rsidRPr="004F4FB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الفائض أو </w:t>
                  </w:r>
                  <w:proofErr w:type="gramStart"/>
                  <w:r w:rsidRPr="004F4FB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العجز</w:t>
                  </w:r>
                  <w:proofErr w:type="gram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في الموازنة التقديرية النقدية يساوي:</w:t>
                  </w:r>
                </w:p>
              </w:tc>
            </w:tr>
            <w:tr w:rsidR="001F6894" w:rsidRPr="00851904" w:rsidTr="00B16BB6">
              <w:trPr>
                <w:jc w:val="center"/>
              </w:trPr>
              <w:tc>
                <w:tcPr>
                  <w:tcW w:w="5530" w:type="dxa"/>
                </w:tcPr>
                <w:p w:rsidR="001F6894" w:rsidRPr="001F6894" w:rsidRDefault="001F6894" w:rsidP="001F6894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رصيد النقدية أول الفترة </w:t>
                  </w:r>
                  <w:proofErr w:type="spellStart"/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+</w:t>
                  </w:r>
                  <w:proofErr w:type="spellEnd"/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صافي التدفق النقدي </w:t>
                  </w:r>
                  <w:proofErr w:type="spellStart"/>
                  <w:r w:rsidRPr="001F6894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  <w:t>–</w:t>
                  </w:r>
                  <w:proofErr w:type="spellEnd"/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الحد الأدنى من النقد الواجب الاحتفاظ </w:t>
                  </w:r>
                  <w:proofErr w:type="spellStart"/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به؛</w:t>
                  </w:r>
                  <w:proofErr w:type="spellEnd"/>
                </w:p>
              </w:tc>
              <w:tc>
                <w:tcPr>
                  <w:tcW w:w="5808" w:type="dxa"/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رصيد النقدية أول الفترة </w:t>
                  </w: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+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صافي التدفق النقدي </w:t>
                  </w: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+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الحد الأدنى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من النقد</w:t>
                  </w: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الواجب الاحتفاظ </w:t>
                  </w: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به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؛</w:t>
                  </w:r>
                  <w:proofErr w:type="spellEnd"/>
                </w:p>
              </w:tc>
            </w:tr>
            <w:tr w:rsidR="001F6894" w:rsidRPr="00851904" w:rsidTr="00B16BB6">
              <w:trPr>
                <w:jc w:val="center"/>
              </w:trPr>
              <w:tc>
                <w:tcPr>
                  <w:tcW w:w="5530" w:type="dxa"/>
                  <w:tcBorders>
                    <w:bottom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رصيد النقدية أول الفترة </w:t>
                  </w: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+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المقبوضات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النقدية </w:t>
                  </w:r>
                  <w:proofErr w:type="spellStart"/>
                  <w:r w:rsidRPr="00CA7C3D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  <w:t>–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المدفوعات النقدية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؛</w:t>
                  </w:r>
                </w:p>
              </w:tc>
              <w:tc>
                <w:tcPr>
                  <w:tcW w:w="5808" w:type="dxa"/>
                  <w:tcBorders>
                    <w:bottom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رصيد النقدية أول الفترة </w:t>
                  </w: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+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المقبوضات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النقدية </w:t>
                  </w:r>
                  <w:proofErr w:type="spellStart"/>
                  <w:r w:rsidRPr="00CA7C3D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  <w:t>–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المدفوعات النقدية </w:t>
                  </w:r>
                  <w:proofErr w:type="spellStart"/>
                  <w:r w:rsidRPr="00CA7C3D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  <w:t>–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رصيد النقدية آخر الفترة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1F6894" w:rsidRPr="00851904" w:rsidTr="00B16BB6">
              <w:trPr>
                <w:jc w:val="center"/>
              </w:trPr>
              <w:tc>
                <w:tcPr>
                  <w:tcW w:w="11338" w:type="dxa"/>
                  <w:gridSpan w:val="2"/>
                  <w:tcBorders>
                    <w:top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bidi/>
                    <w:spacing w:before="60" w:after="120"/>
                    <w:ind w:left="340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(1</w:t>
                  </w: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9</w:t>
                  </w: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)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امتد اهتمام الإدارة المالية</w:t>
                  </w:r>
                  <w:r w:rsidRPr="00816EEE">
                    <w:rPr>
                      <w:rFonts w:asciiTheme="minorHAnsi" w:hAnsiTheme="minorHAnsi" w:cstheme="minorHAns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 w:rsidRPr="004F4FB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حديثا</w:t>
                  </w:r>
                  <w:r w:rsidRPr="00816EEE">
                    <w:rPr>
                      <w:rFonts w:asciiTheme="minorHAnsi" w:hAnsiTheme="minorHAnsi" w:cstheme="minorHAns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ليشمل:</w:t>
                  </w:r>
                </w:p>
              </w:tc>
            </w:tr>
            <w:tr w:rsidR="001F6894" w:rsidRPr="00851904" w:rsidTr="00B16BB6">
              <w:trPr>
                <w:jc w:val="center"/>
              </w:trPr>
              <w:tc>
                <w:tcPr>
                  <w:tcW w:w="5530" w:type="dxa"/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الاهتمام بالأرباح والمخاطرة؛</w:t>
                  </w:r>
                </w:p>
              </w:tc>
              <w:tc>
                <w:tcPr>
                  <w:tcW w:w="5808" w:type="dxa"/>
                </w:tcPr>
                <w:p w:rsidR="001F6894" w:rsidRPr="001F6894" w:rsidRDefault="001F6894" w:rsidP="001F6894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الاهتمام بالأرباح </w:t>
                  </w:r>
                  <w:proofErr w:type="gramStart"/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والتوقيت</w:t>
                  </w:r>
                  <w:proofErr w:type="gramEnd"/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والمخاطرة؛</w:t>
                  </w:r>
                </w:p>
              </w:tc>
            </w:tr>
            <w:tr w:rsidR="001F6894" w:rsidRPr="00851904" w:rsidTr="00B16BB6">
              <w:trPr>
                <w:jc w:val="center"/>
              </w:trPr>
              <w:tc>
                <w:tcPr>
                  <w:tcW w:w="5530" w:type="dxa"/>
                  <w:tcBorders>
                    <w:bottom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الاهتمام بالعائد والمخاطرة؛</w:t>
                  </w:r>
                </w:p>
              </w:tc>
              <w:tc>
                <w:tcPr>
                  <w:tcW w:w="5808" w:type="dxa"/>
                  <w:tcBorders>
                    <w:bottom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الاهتمام بالأرباح وتوقيت تحقيقها.</w:t>
                  </w:r>
                </w:p>
              </w:tc>
            </w:tr>
            <w:tr w:rsidR="001F6894" w:rsidRPr="0092436D" w:rsidTr="00B16BB6">
              <w:trPr>
                <w:jc w:val="center"/>
              </w:trPr>
              <w:tc>
                <w:tcPr>
                  <w:tcW w:w="11338" w:type="dxa"/>
                  <w:gridSpan w:val="2"/>
                  <w:tcBorders>
                    <w:top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bidi/>
                    <w:spacing w:before="60" w:after="120"/>
                    <w:ind w:left="340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(20</w:t>
                  </w:r>
                  <w:proofErr w:type="spellStart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)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proofErr w:type="gramStart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عند</w:t>
                  </w:r>
                  <w:proofErr w:type="gramEnd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إجرائهم التحليل المقارن للقوائم </w:t>
                  </w:r>
                  <w:proofErr w:type="spellStart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المالية،</w:t>
                  </w:r>
                  <w:proofErr w:type="spellEnd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 xml:space="preserve"> لا يهتم المحللون الماليون كثيرا </w:t>
                  </w:r>
                  <w:proofErr w:type="spellStart"/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بـ</w:t>
                  </w:r>
                  <w:proofErr w:type="spellEnd"/>
                  <w:r w:rsidRPr="00CA7C3D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1F6894" w:rsidRPr="00851904" w:rsidTr="00B16BB6">
              <w:trPr>
                <w:jc w:val="center"/>
              </w:trPr>
              <w:tc>
                <w:tcPr>
                  <w:tcW w:w="5530" w:type="dxa"/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معرفة الاتجاه الذي سيتخذه أداء المؤسسة مستقبلا؛</w:t>
                  </w:r>
                </w:p>
              </w:tc>
              <w:tc>
                <w:tcPr>
                  <w:tcW w:w="5808" w:type="dxa"/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معرفة الأهمية النسبية لكل بند من بنود تلك القوائم؛</w:t>
                  </w:r>
                </w:p>
              </w:tc>
            </w:tr>
            <w:tr w:rsidR="001F6894" w:rsidRPr="00851904" w:rsidTr="00B16BB6">
              <w:trPr>
                <w:jc w:val="center"/>
              </w:trPr>
              <w:tc>
                <w:tcPr>
                  <w:tcW w:w="5530" w:type="dxa"/>
                  <w:tcBorders>
                    <w:bottom w:val="single" w:sz="4" w:space="0" w:color="000000" w:themeColor="text1"/>
                  </w:tcBorders>
                </w:tcPr>
                <w:p w:rsidR="001F6894" w:rsidRPr="001F6894" w:rsidRDefault="001F6894" w:rsidP="001F6894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F6894"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معرفة الأداء المالي للمؤسسة بتاريخ إعداد تلك القوائم؛</w:t>
                  </w:r>
                </w:p>
              </w:tc>
              <w:tc>
                <w:tcPr>
                  <w:tcW w:w="5808" w:type="dxa"/>
                  <w:tcBorders>
                    <w:bottom w:val="single" w:sz="4" w:space="0" w:color="000000" w:themeColor="text1"/>
                  </w:tcBorders>
                </w:tcPr>
                <w:p w:rsidR="001F6894" w:rsidRPr="00CA7C3D" w:rsidRDefault="001F6894" w:rsidP="00B16BB6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color w:val="000000" w:themeColor="text1"/>
                      <w:sz w:val="24"/>
                      <w:szCs w:val="24"/>
                      <w:rtl/>
                    </w:rPr>
                    <w:t>لا شيء مما سبق.</w:t>
                  </w:r>
                </w:p>
              </w:tc>
            </w:tr>
          </w:tbl>
          <w:p w:rsidR="001F6894" w:rsidRPr="0092436D" w:rsidRDefault="001F6894" w:rsidP="001F6894">
            <w:pPr>
              <w:bidi/>
              <w:spacing w:before="120"/>
              <w:jc w:val="center"/>
              <w:rPr>
                <w:rFonts w:cs="DecoType Thuluth"/>
                <w:b/>
                <w:bCs/>
                <w:color w:val="000000" w:themeColor="text1"/>
                <w:rtl/>
                <w:lang w:bidi="ar-DZ"/>
              </w:rPr>
            </w:pPr>
            <w:r w:rsidRPr="00E40EC5">
              <w:rPr>
                <w:rFonts w:cstheme="minorBidi"/>
                <w:noProof/>
                <w:color w:val="000000" w:themeColor="text1"/>
                <w:sz w:val="26"/>
                <w:szCs w:val="26"/>
                <w:rtl/>
              </w:rPr>
              <w:pict>
                <v:oval id="_x0000_s1026" style="position:absolute;left:0;text-align:left;margin-left:270.75pt;margin-top:26.65pt;width:42.5pt;height:25.5pt;z-index:251662336;mso-position-horizontal-relative:text;mso-position-vertical-relative:text">
                  <v:textbox style="mso-next-textbox:#_x0000_s1026" inset=",.3mm,,.3mm">
                    <w:txbxContent>
                      <w:p w:rsidR="001F6894" w:rsidRPr="00010E49" w:rsidRDefault="001F6894" w:rsidP="001F6894">
                        <w:pPr>
                          <w:spacing w:line="480" w:lineRule="auto"/>
                          <w:jc w:val="center"/>
                          <w:rPr>
                            <w:b/>
                            <w:bCs/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2</w:t>
                        </w:r>
                        <w:r w:rsidRPr="00010E49"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/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</w:p>
        </w:tc>
      </w:tr>
    </w:tbl>
    <w:p w:rsidR="001E7548" w:rsidRDefault="001907F1" w:rsidP="001F6894"/>
    <w:sectPr w:rsidR="001E7548" w:rsidSect="00F93014">
      <w:footerReference w:type="even" r:id="rId6"/>
      <w:pgSz w:w="11906" w:h="16838" w:code="9"/>
      <w:pgMar w:top="567" w:right="567" w:bottom="567" w:left="578" w:header="142" w:footer="142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rodepage"/>
      </w:rPr>
      <w:id w:val="-154320111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37015" w:rsidRDefault="001907F1" w:rsidP="0093701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937015" w:rsidRDefault="001907F1">
    <w:pPr>
      <w:pStyle w:val="Pieddepag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CC4"/>
    <w:multiLevelType w:val="hybridMultilevel"/>
    <w:tmpl w:val="4D5AECDE"/>
    <w:lvl w:ilvl="0" w:tplc="93D6EE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55FCE"/>
    <w:multiLevelType w:val="hybridMultilevel"/>
    <w:tmpl w:val="61B0FFDA"/>
    <w:lvl w:ilvl="0" w:tplc="0A829E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0A4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EE0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00B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588D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502B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486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60C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B2E3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8D2776"/>
    <w:multiLevelType w:val="hybridMultilevel"/>
    <w:tmpl w:val="EBDC1C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44116"/>
    <w:multiLevelType w:val="hybridMultilevel"/>
    <w:tmpl w:val="609CC7EC"/>
    <w:lvl w:ilvl="0" w:tplc="25DE2464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78523037"/>
    <w:multiLevelType w:val="hybridMultilevel"/>
    <w:tmpl w:val="14E02E9E"/>
    <w:lvl w:ilvl="0" w:tplc="0A829E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F6894"/>
    <w:rsid w:val="001907F1"/>
    <w:rsid w:val="001F6894"/>
    <w:rsid w:val="003A5F6A"/>
    <w:rsid w:val="00447402"/>
    <w:rsid w:val="00476E6A"/>
    <w:rsid w:val="0053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94"/>
    <w:rPr>
      <w:rFonts w:ascii="Sakkal Majalla" w:eastAsiaTheme="minorEastAsia" w:hAnsi="Sakkal Majalla" w:cs="Sakkal Majalla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F689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6894"/>
    <w:rPr>
      <w:rFonts w:ascii="Sakkal Majalla" w:eastAsiaTheme="minorEastAsia" w:hAnsi="Sakkal Majalla" w:cs="Sakkal Majalla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1F6894"/>
    <w:pPr>
      <w:spacing w:after="0" w:line="240" w:lineRule="auto"/>
    </w:pPr>
    <w:rPr>
      <w:rFonts w:ascii="Sakkal Majalla" w:hAnsi="Sakkal Majalla" w:cs="Sakkal Majalla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F6894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1F6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766</Words>
  <Characters>4219</Characters>
  <Application>Microsoft Office Word</Application>
  <DocSecurity>0</DocSecurity>
  <Lines>35</Lines>
  <Paragraphs>9</Paragraphs>
  <ScaleCrop>false</ScaleCrop>
  <Company>Microsoft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LATITUDE6330</dc:creator>
  <cp:lastModifiedBy>LATITUDE6330</cp:lastModifiedBy>
  <cp:revision>1</cp:revision>
  <dcterms:created xsi:type="dcterms:W3CDTF">2024-05-19T19:58:00Z</dcterms:created>
  <dcterms:modified xsi:type="dcterms:W3CDTF">2024-05-19T20:07:00Z</dcterms:modified>
</cp:coreProperties>
</file>