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9D2DC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</w:p>
    <w:p w14:paraId="48BD165C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14:paraId="0D037D08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14:paraId="4FEC72C1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14:paraId="3ED6E81B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lang w:eastAsia="fr-FR"/>
        </w:rPr>
        <w:pict>
          <v:shape id="Zone de texte 2" o:spid="_x0000_s1026" o:spt="202" type="#_x0000_t202" style="position:absolute;left:0pt;margin-left:-21.5pt;margin-top:21.1pt;height:110.55pt;width:242.35pt;z-index:251660288;mso-width-relative:margin;mso-height-relative:margin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 w14:paraId="5DD7433A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Ministère De L’Enseignement Supérieur Et De La Recherche Scientifique</w:t>
                  </w:r>
                </w:p>
                <w:p w14:paraId="65654C69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14:paraId="0AB993D2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Vice Rectorat De La Formation Supérieure, Et de 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szCs w:val="28"/>
          <w:lang w:eastAsia="fr-FR"/>
        </w:rPr>
        <w:pict>
          <v:shape id="_x0000_s1027" o:spid="_x0000_s1027" o:spt="202" type="#_x0000_t202" style="position:absolute;left:0pt;margin-left:320.35pt;margin-top:21.05pt;height:76.9pt;width:173pt;z-index:251659264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>
            <v:path/>
            <v:fill focussize="0,0"/>
            <v:stroke on="f" joinstyle="miter"/>
            <v:imagedata o:title=""/>
            <o:lock v:ext="edit"/>
            <v:textbox>
              <w:txbxContent>
                <w:p w14:paraId="5117568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14:paraId="6AD9C283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14:paraId="287F5033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14:paraId="3AE3B9C1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>
                    <w:rPr>
                      <w:rFonts w:hint="cs"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14:paraId="6AAD6CC2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ED283E">
      <w:pPr>
        <w:bidi/>
        <w:rPr>
          <w:rFonts w:ascii="Traditional Arabic" w:hAnsi="Traditional Arabic"/>
          <w:szCs w:val="28"/>
          <w:lang w:bidi="ar-DZ"/>
        </w:rPr>
      </w:pPr>
    </w:p>
    <w:p w14:paraId="182B331D">
      <w:pPr>
        <w:bidi/>
        <w:rPr>
          <w:rFonts w:ascii="Traditional Arabic" w:hAnsi="Traditional Arabic"/>
          <w:szCs w:val="28"/>
          <w:lang w:bidi="ar-DZ"/>
        </w:rPr>
      </w:pPr>
    </w:p>
    <w:p w14:paraId="05E9936C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lang w:eastAsia="fr-FR"/>
        </w:rPr>
        <w:pict>
          <v:line id="Connecteur droit 4" o:spid="_x0000_s1028" o:spt="20" style="position:absolute;left:0pt;flip:x;margin-left:-30.15pt;margin-top:2.65pt;height:0pt;width:517.55pt;z-index:251662336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</w:p>
    <w:p w14:paraId="787DFAAB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>
        <w:rPr>
          <w:rFonts w:ascii="Traditional Arabic" w:hAnsi="Traditional Arabic"/>
          <w:szCs w:val="28"/>
          <w:rtl/>
          <w:lang w:bidi="ar-DZ"/>
        </w:rPr>
        <w:t xml:space="preserve"> : </w:t>
      </w:r>
      <w:r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14:paraId="6D71A5B8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ab/>
      </w: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>
        <w:rPr>
          <w:rFonts w:ascii="Traditional Arabic" w:hAnsi="Traditional Arabic"/>
          <w:szCs w:val="28"/>
          <w:rtl/>
          <w:lang w:bidi="ar-DZ"/>
        </w:rPr>
        <w:t xml:space="preserve">: </w:t>
      </w:r>
      <w:r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14:paraId="0AD867B3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6E77C851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14:paraId="3A316CF5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14:paraId="110915FF">
      <w:pPr>
        <w:bidi/>
        <w:ind w:left="425"/>
        <w:rPr>
          <w:rFonts w:ascii="Traditional Arabic" w:hAnsi="Traditional Arabic"/>
          <w:szCs w:val="28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الفرع : </w:t>
      </w:r>
      <w:r>
        <w:rPr>
          <w:rFonts w:hint="cs" w:ascii="Traditional Arabic" w:hAnsi="Traditional Arabic"/>
          <w:szCs w:val="28"/>
          <w:rtl/>
        </w:rPr>
        <w:t>لغة و أدب عربي</w:t>
      </w:r>
    </w:p>
    <w:p w14:paraId="43879BF6">
      <w:pPr>
        <w:bidi/>
        <w:ind w:left="425"/>
        <w:rPr>
          <w:rFonts w:hint="cs" w:ascii="Traditional Arabic" w:hAnsi="Traditional Arabic" w:cs="Traditional Arabic"/>
          <w:szCs w:val="28"/>
          <w:rtl/>
          <w:lang w:val="en-US" w:bidi="ar-SA"/>
        </w:rPr>
      </w:pPr>
      <w:r>
        <w:rPr>
          <w:rFonts w:ascii="Traditional Arabic" w:hAnsi="Traditional Arabic"/>
          <w:szCs w:val="28"/>
          <w:rtl/>
          <w:lang w:bidi="ar-DZ"/>
        </w:rPr>
        <w:t>التخصص :</w:t>
      </w:r>
      <w:r>
        <w:rPr>
          <w:rFonts w:hint="cs" w:ascii="Traditional Arabic" w:hAnsi="Traditional Arabic"/>
          <w:szCs w:val="28"/>
          <w:rtl/>
          <w:lang w:bidi="ar-DZ"/>
        </w:rPr>
        <w:t xml:space="preserve">ل أدب </w:t>
      </w:r>
      <w:r>
        <w:rPr>
          <w:rFonts w:hint="cs" w:ascii="Traditional Arabic" w:hAnsi="Traditional Arabic" w:cs="Traditional Arabic"/>
          <w:szCs w:val="28"/>
          <w:rtl/>
          <w:lang w:bidi="ar-SA"/>
        </w:rPr>
        <w:t>حديث</w:t>
      </w:r>
      <w:r>
        <w:rPr>
          <w:rFonts w:hint="cs" w:ascii="Traditional Arabic" w:hAnsi="Traditional Arabic" w:cs="Traditional Arabic"/>
          <w:szCs w:val="28"/>
          <w:rtl/>
          <w:lang w:val="en-US" w:bidi="ar-SA"/>
        </w:rPr>
        <w:t xml:space="preserve"> و معاصر</w:t>
      </w:r>
    </w:p>
    <w:p w14:paraId="7D5556AD">
      <w:pPr>
        <w:bidi/>
        <w:ind w:left="425"/>
        <w:rPr>
          <w:rFonts w:hint="cs" w:ascii="Traditional Arabic" w:hAnsi="Traditional Arabic" w:cs="Traditional Arabic"/>
          <w:szCs w:val="28"/>
          <w:rtl/>
          <w:lang w:val="en-US" w:bidi="ar-SA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السّداسي : </w:t>
      </w:r>
      <w:r>
        <w:rPr>
          <w:rFonts w:hint="cs" w:ascii="Traditional Arabic" w:hAnsi="Traditional Arabic" w:cs="Traditional Arabic"/>
          <w:szCs w:val="28"/>
          <w:rtl/>
          <w:lang w:bidi="ar-SA"/>
        </w:rPr>
        <w:t>الأول</w:t>
      </w:r>
      <w:r>
        <w:rPr>
          <w:rFonts w:hint="cs" w:ascii="Traditional Arabic" w:hAnsi="Traditional Arabic" w:cs="Traditional Arabic"/>
          <w:szCs w:val="28"/>
          <w:rtl/>
          <w:lang w:val="en-US" w:bidi="ar-SA"/>
        </w:rPr>
        <w:t xml:space="preserve"> </w:t>
      </w:r>
    </w:p>
    <w:p w14:paraId="3345DB70">
      <w:pPr>
        <w:bidi/>
        <w:ind w:left="425"/>
        <w:rPr>
          <w:rFonts w:hint="default" w:ascii="Traditional Arabic" w:hAnsi="Traditional Arabic"/>
          <w:szCs w:val="28"/>
          <w:rtl/>
          <w:lang w:val="fr-FR" w:bidi="ar-DZ"/>
        </w:rPr>
      </w:pPr>
      <w:r>
        <w:rPr>
          <w:rFonts w:hint="cs" w:ascii="Traditional Arabic" w:hAnsi="Traditional Arabic" w:cs="Traditional Arabic"/>
          <w:szCs w:val="28"/>
          <w:rtl/>
          <w:lang w:bidi="ar-SA"/>
        </w:rPr>
        <w:t>السنة</w:t>
      </w:r>
      <w:r>
        <w:rPr>
          <w:rFonts w:ascii="Traditional Arabic" w:hAnsi="Traditional Arabic"/>
          <w:szCs w:val="28"/>
          <w:rtl/>
          <w:lang w:bidi="ar-DZ"/>
        </w:rPr>
        <w:t xml:space="preserve"> الجامعية :   </w:t>
      </w:r>
      <w:r>
        <w:rPr>
          <w:rFonts w:hint="cs" w:ascii="Traditional Arabic" w:hAnsi="Traditional Arabic"/>
          <w:szCs w:val="28"/>
          <w:rtl/>
          <w:lang w:bidi="ar-DZ"/>
        </w:rPr>
        <w:t>2024</w:t>
      </w:r>
      <w:r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>
        <w:rPr>
          <w:rFonts w:hint="default" w:ascii="Traditional Arabic" w:hAnsi="Traditional Arabic"/>
          <w:szCs w:val="28"/>
          <w:rtl w:val="0"/>
          <w:lang w:val="fr-FR" w:bidi="ar-DZ"/>
        </w:rPr>
        <w:t>2025</w:t>
      </w:r>
    </w:p>
    <w:p w14:paraId="5C8E6C08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الوحدة التعليمية : و ت </w:t>
      </w:r>
      <w:r>
        <w:rPr>
          <w:rFonts w:hint="cs" w:ascii="Traditional Arabic" w:hAnsi="Traditional Arabic"/>
          <w:szCs w:val="28"/>
          <w:rtl/>
          <w:lang w:bidi="ar-DZ"/>
        </w:rPr>
        <w:t xml:space="preserve"> أ</w:t>
      </w:r>
    </w:p>
    <w:p w14:paraId="6D216DBD">
      <w:pPr>
        <w:bidi/>
        <w:ind w:left="425"/>
        <w:rPr>
          <w:rFonts w:hint="cs" w:ascii="Traditional Arabic" w:hAnsi="Traditional Arabic" w:cs="Traditional Arabic"/>
          <w:szCs w:val="28"/>
          <w:rtl/>
          <w:lang w:val="en-US" w:bidi="ar-SA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المادة : </w:t>
      </w:r>
      <w:r>
        <w:rPr>
          <w:rFonts w:hint="cs" w:ascii="Traditional Arabic" w:hAnsi="Traditional Arabic" w:cs="Traditional Arabic"/>
          <w:szCs w:val="28"/>
          <w:rtl/>
          <w:lang w:bidi="ar-SA"/>
        </w:rPr>
        <w:t>أدب</w:t>
      </w:r>
      <w:r>
        <w:rPr>
          <w:rFonts w:hint="cs" w:ascii="Traditional Arabic" w:hAnsi="Traditional Arabic" w:cs="Traditional Arabic"/>
          <w:szCs w:val="28"/>
          <w:rtl/>
          <w:lang w:val="en-US" w:bidi="ar-SA"/>
        </w:rPr>
        <w:t xml:space="preserve"> اسلامي</w:t>
      </w:r>
    </w:p>
    <w:p w14:paraId="3B9B067C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الرصيد :</w:t>
      </w:r>
      <w:r>
        <w:rPr>
          <w:rFonts w:hint="cs" w:ascii="Traditional Arabic" w:hAnsi="Traditional Arabic"/>
          <w:szCs w:val="28"/>
          <w:rtl/>
          <w:lang w:bidi="ar-DZ"/>
        </w:rPr>
        <w:t>04</w:t>
      </w:r>
      <w:r>
        <w:rPr>
          <w:rFonts w:ascii="Traditional Arabic" w:hAnsi="Traditional Arabic"/>
          <w:szCs w:val="28"/>
          <w:rtl/>
          <w:lang w:bidi="ar-DZ"/>
        </w:rPr>
        <w:t xml:space="preserve"> المعامل :</w:t>
      </w:r>
      <w:r>
        <w:rPr>
          <w:rFonts w:hint="cs" w:ascii="Traditional Arabic" w:hAnsi="Traditional Arabic"/>
          <w:szCs w:val="28"/>
          <w:rtl/>
          <w:lang w:bidi="ar-DZ"/>
        </w:rPr>
        <w:t>02</w:t>
      </w:r>
      <w:r>
        <w:rPr>
          <w:rFonts w:ascii="Traditional Arabic" w:hAnsi="Traditional Arabic"/>
          <w:szCs w:val="28"/>
          <w:rtl/>
          <w:lang w:bidi="ar-DZ"/>
        </w:rPr>
        <w:t xml:space="preserve"> </w:t>
      </w:r>
      <w:r>
        <w:rPr>
          <w:rFonts w:hint="cs" w:ascii="Traditional Arabic" w:hAnsi="Traditional Arabic"/>
          <w:szCs w:val="28"/>
          <w:rtl/>
          <w:lang w:bidi="ar-DZ"/>
        </w:rPr>
        <w:t xml:space="preserve"> </w:t>
      </w:r>
      <w:r>
        <w:rPr>
          <w:rFonts w:ascii="Traditional Arabic" w:hAnsi="Traditional Arabic"/>
          <w:szCs w:val="28"/>
          <w:rtl/>
          <w:lang w:bidi="ar-DZ"/>
        </w:rPr>
        <w:t xml:space="preserve">الحجم الساعي الأسبوعي الكلّي : </w:t>
      </w:r>
      <w:r>
        <w:rPr>
          <w:rFonts w:hint="cs" w:ascii="Traditional Arabic" w:hAnsi="Traditional Arabic"/>
          <w:szCs w:val="28"/>
          <w:rtl/>
          <w:lang w:bidi="ar-DZ"/>
        </w:rPr>
        <w:t>ثلاث ساعات</w:t>
      </w:r>
    </w:p>
    <w:p w14:paraId="2A916B80">
      <w:pPr>
        <w:pStyle w:val="7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مـحـاضـرات (عـدد الســــاعـات في الأسبـوع) : </w:t>
      </w:r>
      <w:r>
        <w:rPr>
          <w:rFonts w:hint="cs" w:ascii="Traditional Arabic" w:hAnsi="Traditional Arabic"/>
          <w:szCs w:val="28"/>
          <w:rtl/>
          <w:lang w:bidi="ar-DZ"/>
        </w:rPr>
        <w:t>ساعة و نصف</w:t>
      </w:r>
    </w:p>
    <w:p w14:paraId="0EDEEA6C">
      <w:pPr>
        <w:pStyle w:val="7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الأعمال الموجهة (عـدد الساعــات في الأسبوع): ساعة ونصف</w:t>
      </w:r>
    </w:p>
    <w:p w14:paraId="25B3D9AB">
      <w:pPr>
        <w:pStyle w:val="7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الأعمال التطبيقية (عدد الساعات في الأسبوع) : </w:t>
      </w:r>
    </w:p>
    <w:p w14:paraId="6C4488D8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لغة التدريس : اللّغة العربيّة</w:t>
      </w:r>
    </w:p>
    <w:p w14:paraId="4622945C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الأستاذ المسؤول على المادة : </w:t>
      </w:r>
      <w:r>
        <w:rPr>
          <w:rFonts w:hint="cs" w:ascii="Traditional Arabic" w:hAnsi="Traditional Arabic"/>
          <w:szCs w:val="28"/>
          <w:rtl/>
          <w:lang w:bidi="ar-DZ"/>
        </w:rPr>
        <w:t xml:space="preserve">جلايلية صبيحة       </w:t>
      </w:r>
      <w:r>
        <w:rPr>
          <w:rFonts w:ascii="Traditional Arabic" w:hAnsi="Traditional Arabic"/>
          <w:szCs w:val="28"/>
          <w:rtl/>
          <w:lang w:bidi="ar-DZ"/>
        </w:rPr>
        <w:t xml:space="preserve">الرتبة </w:t>
      </w:r>
      <w:r>
        <w:rPr>
          <w:rFonts w:hint="cs" w:ascii="Traditional Arabic" w:hAnsi="Traditional Arabic"/>
          <w:szCs w:val="28"/>
          <w:rtl/>
          <w:lang w:bidi="ar-DZ"/>
        </w:rPr>
        <w:t xml:space="preserve">:أستاذ </w:t>
      </w:r>
      <w:r>
        <w:rPr>
          <w:rFonts w:hint="cs" w:ascii="Traditional Arabic" w:hAnsi="Traditional Arabic" w:cs="Traditional Arabic"/>
          <w:szCs w:val="28"/>
          <w:rtl/>
          <w:lang w:bidi="ar-SA"/>
        </w:rPr>
        <w:t>محاضر</w:t>
      </w:r>
      <w:r>
        <w:rPr>
          <w:rFonts w:hint="cs" w:ascii="Traditional Arabic" w:hAnsi="Traditional Arabic"/>
          <w:szCs w:val="28"/>
          <w:rtl/>
          <w:lang w:bidi="ar-DZ"/>
        </w:rPr>
        <w:t xml:space="preserve"> </w:t>
      </w:r>
      <w:r>
        <w:rPr>
          <w:rFonts w:ascii="Traditional Arabic" w:hAnsi="Traditional Arabic"/>
          <w:szCs w:val="28"/>
          <w:rtl/>
          <w:lang w:bidi="ar-DZ"/>
        </w:rPr>
        <w:t>–</w:t>
      </w:r>
      <w:r>
        <w:rPr>
          <w:rFonts w:hint="cs" w:ascii="Traditional Arabic" w:hAnsi="Traditional Arabic"/>
          <w:szCs w:val="28"/>
          <w:rtl/>
          <w:lang w:bidi="ar-DZ"/>
        </w:rPr>
        <w:t>ب-</w:t>
      </w:r>
    </w:p>
    <w:p w14:paraId="0BFC9898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المكتب :رقم.</w:t>
      </w:r>
      <w:r>
        <w:rPr>
          <w:rFonts w:hint="cs" w:ascii="Traditional Arabic" w:hAnsi="Traditional Arabic"/>
          <w:szCs w:val="28"/>
          <w:rtl/>
          <w:lang w:bidi="ar-DZ"/>
        </w:rPr>
        <w:t>//</w:t>
      </w:r>
    </w:p>
    <w:p w14:paraId="10312AF4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البريد الإلكتروني :</w:t>
      </w:r>
      <w:r>
        <w:rPr>
          <w:rFonts w:ascii="Traditional Arabic" w:hAnsi="Traditional Arabic"/>
          <w:szCs w:val="28"/>
        </w:rPr>
        <w:t>djelsabiha4@gmail.com</w:t>
      </w:r>
      <w:r>
        <w:rPr>
          <w:rFonts w:ascii="Traditional Arabic" w:hAnsi="Traditional Arabic"/>
          <w:szCs w:val="28"/>
          <w:rtl/>
          <w:lang w:bidi="ar-DZ"/>
        </w:rPr>
        <w:t xml:space="preserve"> رقم الهاتف : </w:t>
      </w:r>
      <w:r>
        <w:rPr>
          <w:rFonts w:ascii="Traditional Arabic" w:hAnsi="Traditional Arabic"/>
          <w:szCs w:val="28"/>
          <w:lang w:bidi="ar-DZ"/>
        </w:rPr>
        <w:t>06.73.88.04.54</w:t>
      </w:r>
    </w:p>
    <w:p w14:paraId="24908E3C">
      <w:pPr>
        <w:bidi/>
        <w:ind w:left="425"/>
        <w:rPr>
          <w:rFonts w:ascii="Traditional Arabic" w:hAnsi="Traditional Arabic"/>
          <w:szCs w:val="28"/>
          <w:rtl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( </w:t>
      </w:r>
      <w:r>
        <w:rPr>
          <w:rFonts w:ascii="Traditional Arabic" w:hAnsi="Traditional Arabic"/>
          <w:szCs w:val="28"/>
          <w:lang w:bidi="ar-DZ"/>
        </w:rPr>
        <w:t>Tutorat)</w:t>
      </w:r>
      <w:r>
        <w:rPr>
          <w:rFonts w:ascii="Traditional Arabic" w:hAnsi="Traditional Arabic"/>
          <w:szCs w:val="28"/>
          <w:rtl/>
          <w:lang w:bidi="ar-DZ"/>
        </w:rPr>
        <w:t>)</w:t>
      </w:r>
      <w:r>
        <w:rPr>
          <w:rFonts w:hint="cs" w:ascii="Traditional Arabic" w:hAnsi="Traditional Arabic"/>
          <w:szCs w:val="28"/>
          <w:rtl/>
          <w:lang w:bidi="ar-DZ"/>
        </w:rPr>
        <w:t> </w:t>
      </w:r>
      <w:r>
        <w:rPr>
          <w:rFonts w:hint="cs" w:ascii="Traditional Arabic" w:hAnsi="Traditional Arabic"/>
          <w:szCs w:val="28"/>
        </w:rPr>
        <w:t>:</w:t>
      </w:r>
      <w:r>
        <w:rPr>
          <w:rFonts w:hint="cs" w:ascii="Traditional Arabic" w:hAnsi="Traditional Arabic"/>
          <w:szCs w:val="28"/>
          <w:rtl/>
        </w:rPr>
        <w:t xml:space="preserve">الخميس: </w:t>
      </w:r>
      <w:r>
        <w:rPr>
          <w:rFonts w:hint="cs" w:ascii="Traditional Arabic" w:hAnsi="Traditional Arabic" w:cs="Traditional Arabic"/>
          <w:szCs w:val="28"/>
          <w:rtl/>
          <w:lang w:val="en-US" w:bidi="ar-SA"/>
        </w:rPr>
        <w:t>09</w:t>
      </w:r>
      <w:r>
        <w:rPr>
          <w:rFonts w:hint="cs" w:ascii="Traditional Arabic" w:hAnsi="Traditional Arabic"/>
          <w:szCs w:val="28"/>
          <w:rtl/>
        </w:rPr>
        <w:t>:</w:t>
      </w:r>
      <w:r>
        <w:rPr>
          <w:rFonts w:hint="cs" w:ascii="Traditional Arabic" w:hAnsi="Traditional Arabic" w:cs="Traditional Arabic"/>
          <w:szCs w:val="28"/>
          <w:rtl/>
          <w:lang w:val="en-US" w:bidi="ar-SA"/>
        </w:rPr>
        <w:t>3</w:t>
      </w:r>
      <w:r>
        <w:rPr>
          <w:rFonts w:hint="cs" w:ascii="Traditional Arabic" w:hAnsi="Traditional Arabic"/>
          <w:szCs w:val="28"/>
          <w:rtl/>
        </w:rPr>
        <w:t>0- 1</w:t>
      </w:r>
      <w:r>
        <w:rPr>
          <w:rFonts w:hint="cs" w:ascii="Traditional Arabic" w:hAnsi="Traditional Arabic" w:cs="Traditional Arabic"/>
          <w:szCs w:val="28"/>
          <w:rtl/>
          <w:lang w:val="en-US" w:bidi="ar-SA"/>
        </w:rPr>
        <w:t>1</w:t>
      </w:r>
      <w:r>
        <w:rPr>
          <w:rFonts w:hint="cs" w:ascii="Traditional Arabic" w:hAnsi="Traditional Arabic"/>
          <w:szCs w:val="28"/>
          <w:rtl/>
        </w:rPr>
        <w:t>:</w:t>
      </w:r>
      <w:r>
        <w:rPr>
          <w:rFonts w:hint="cs" w:ascii="Traditional Arabic" w:hAnsi="Traditional Arabic" w:cs="Traditional Arabic"/>
          <w:szCs w:val="28"/>
          <w:rtl/>
          <w:lang w:val="en-US" w:bidi="ar-SA"/>
        </w:rPr>
        <w:t>0</w:t>
      </w:r>
      <w:bookmarkStart w:id="0" w:name="_GoBack"/>
      <w:bookmarkEnd w:id="0"/>
      <w:r>
        <w:rPr>
          <w:rFonts w:hint="cs" w:ascii="Traditional Arabic" w:hAnsi="Traditional Arabic"/>
          <w:szCs w:val="28"/>
          <w:rtl/>
        </w:rPr>
        <w:t>0</w:t>
      </w:r>
    </w:p>
    <w:p w14:paraId="68F0A0E6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>
        <w:rPr>
          <w:rFonts w:ascii="Traditional Arabic" w:hAnsi="Traditional Arabic"/>
          <w:b/>
          <w:bCs/>
          <w:szCs w:val="28"/>
          <w:lang w:bidi="ar-DZ"/>
        </w:rPr>
        <w:t>Syllabus</w:t>
      </w: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 ( 1/2 </w:t>
      </w:r>
    </w:p>
    <w:p w14:paraId="145F006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>
        <w:rPr>
          <w:rFonts w:ascii="Traditional Arabic" w:hAnsi="Traditional Arabic"/>
          <w:szCs w:val="28"/>
          <w:rtl/>
          <w:lang w:bidi="ar-DZ"/>
        </w:rPr>
        <w:t xml:space="preserve"> :</w:t>
      </w:r>
    </w:p>
    <w:p w14:paraId="2AE21B0C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التّحكم في مادة المقياس </w:t>
      </w:r>
      <w:r>
        <w:rPr>
          <w:rFonts w:hint="cs" w:ascii="Traditional Arabic" w:hAnsi="Traditional Arabic"/>
          <w:szCs w:val="28"/>
          <w:rtl/>
          <w:lang w:bidi="ar-DZ"/>
        </w:rPr>
        <w:t>مشافهة و تحريرا</w:t>
      </w:r>
    </w:p>
    <w:p w14:paraId="0E6217A1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التّمكن من المعارف العلميّة المتعلّقة بالمقياس.</w:t>
      </w:r>
    </w:p>
    <w:p w14:paraId="11DBE9E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الوصول بالطالب</w:t>
      </w:r>
      <w:r>
        <w:rPr>
          <w:rFonts w:hint="cs" w:ascii="Traditional Arabic" w:hAnsi="Traditional Arabic"/>
          <w:szCs w:val="28"/>
          <w:rtl/>
          <w:lang w:bidi="ar-DZ"/>
        </w:rPr>
        <w:t>(ة)</w:t>
      </w:r>
      <w:r>
        <w:rPr>
          <w:rFonts w:ascii="Traditional Arabic" w:hAnsi="Traditional Arabic"/>
          <w:szCs w:val="28"/>
          <w:rtl/>
          <w:lang w:bidi="ar-DZ"/>
        </w:rPr>
        <w:t xml:space="preserve"> إلى القدرة على استثمار معارفه في</w:t>
      </w:r>
      <w:r>
        <w:rPr>
          <w:rFonts w:hint="cs" w:ascii="Traditional Arabic" w:hAnsi="Traditional Arabic"/>
          <w:szCs w:val="28"/>
          <w:rtl/>
          <w:lang w:bidi="ar-DZ"/>
        </w:rPr>
        <w:t xml:space="preserve"> هذا</w:t>
      </w:r>
      <w:r>
        <w:rPr>
          <w:rFonts w:ascii="Traditional Arabic" w:hAnsi="Traditional Arabic"/>
          <w:szCs w:val="28"/>
          <w:rtl/>
          <w:lang w:bidi="ar-DZ"/>
        </w:rPr>
        <w:t xml:space="preserve"> المجال</w:t>
      </w:r>
    </w:p>
    <w:p w14:paraId="2249A14D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14:paraId="5C2F5B7F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14:paraId="719886BB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14:paraId="34B2CD44">
      <w:pPr>
        <w:bidi/>
        <w:ind w:left="-1"/>
        <w:rPr>
          <w:rFonts w:ascii="Traditional Arabic" w:hAnsi="Traditional Arabic"/>
          <w:szCs w:val="28"/>
          <w:lang w:bidi="ar-DZ"/>
        </w:rPr>
      </w:pPr>
    </w:p>
    <w:p w14:paraId="5501CA56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برنامج المحاضرات النظرية </w:t>
      </w:r>
    </w:p>
    <w:tbl>
      <w:tblPr>
        <w:tblStyle w:val="6"/>
        <w:bidiVisual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521"/>
        <w:gridCol w:w="709"/>
        <w:gridCol w:w="4253"/>
      </w:tblGrid>
      <w:tr w14:paraId="4232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A3F9687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14:paraId="6C2BFD01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الدّروس</w:t>
            </w:r>
          </w:p>
        </w:tc>
        <w:tc>
          <w:tcPr>
            <w:tcW w:w="709" w:type="dxa"/>
          </w:tcPr>
          <w:p w14:paraId="334294FB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14:paraId="2BBA6787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الدّروس</w:t>
            </w:r>
          </w:p>
        </w:tc>
      </w:tr>
      <w:tr w14:paraId="44EF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94DE46A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14:paraId="39C5C185">
            <w:pPr>
              <w:wordWrap w:val="0"/>
              <w:bidi/>
              <w:rPr>
                <w:rFonts w:hint="default" w:ascii="Traditional Arabic" w:hAnsi="Traditional Arabic" w:cs="Traditional Arabic"/>
                <w:szCs w:val="28"/>
                <w:rtl/>
                <w:lang w:val="en-US" w:bidi="ar-SA"/>
              </w:rPr>
            </w:pP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الأدب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الاسلامي: التعريف،الماهية،النشأة، الوظيفة والمصادر</w:t>
            </w:r>
          </w:p>
        </w:tc>
        <w:tc>
          <w:tcPr>
            <w:tcW w:w="709" w:type="dxa"/>
          </w:tcPr>
          <w:p w14:paraId="3C7F3AF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14:paraId="27125B1F">
            <w:pPr>
              <w:wordWrap w:val="0"/>
              <w:bidi/>
              <w:rPr>
                <w:rFonts w:hint="default" w:ascii="Traditional Arabic" w:hAnsi="Traditional Arabic" w:cs="Traditional Arabic"/>
                <w:szCs w:val="28"/>
                <w:rtl/>
                <w:lang w:val="en-US" w:bidi="ar-SA"/>
              </w:rPr>
            </w:pP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الأدب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الاسلامي المقومات و الخصومات المميزة</w:t>
            </w:r>
          </w:p>
        </w:tc>
      </w:tr>
      <w:tr w14:paraId="262C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137E3A39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14:paraId="6F8FCEA8">
            <w:pPr>
              <w:wordWrap w:val="0"/>
              <w:bidi/>
              <w:rPr>
                <w:rFonts w:hint="default" w:ascii="Traditional Arabic" w:hAnsi="Traditional Arabic" w:cs="Traditional Arabic"/>
                <w:szCs w:val="28"/>
                <w:rtl/>
                <w:lang w:val="en-US" w:bidi="ar-SA"/>
              </w:rPr>
            </w:pP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خصائص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الأدب الاسلامي</w:t>
            </w:r>
          </w:p>
        </w:tc>
        <w:tc>
          <w:tcPr>
            <w:tcW w:w="709" w:type="dxa"/>
          </w:tcPr>
          <w:p w14:paraId="16E07ADB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14:paraId="397DA762">
            <w:pPr>
              <w:wordWrap w:val="0"/>
              <w:bidi/>
              <w:rPr>
                <w:rFonts w:hint="default" w:ascii="Traditional Arabic" w:hAnsi="Traditional Arabic" w:cs="Traditional Arabic"/>
                <w:szCs w:val="28"/>
                <w:rtl/>
                <w:lang w:val="en-US" w:bidi="ar-SA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ا</w:t>
            </w: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لقضايا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النقدية:الالتزلم،المحلية، العالمية،العاطفة، الخيال</w:t>
            </w:r>
          </w:p>
        </w:tc>
      </w:tr>
      <w:tr w14:paraId="7EC9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0" w:type="dxa"/>
          </w:tcPr>
          <w:p w14:paraId="2BF064EA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14:paraId="732DEA8F">
            <w:pPr>
              <w:wordWrap w:val="0"/>
              <w:bidi/>
              <w:rPr>
                <w:rFonts w:hint="default" w:ascii="Traditional Arabic" w:hAnsi="Traditional Arabic" w:cs="Traditional Arabic"/>
                <w:szCs w:val="28"/>
                <w:rtl/>
                <w:lang w:val="en-US" w:bidi="ar-SA"/>
              </w:rPr>
            </w:pP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موضوعات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الأدب الاسلامي</w:t>
            </w:r>
          </w:p>
        </w:tc>
        <w:tc>
          <w:tcPr>
            <w:tcW w:w="709" w:type="dxa"/>
          </w:tcPr>
          <w:p w14:paraId="64CD988A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14:paraId="3A7E00F4">
            <w:pPr>
              <w:wordWrap w:val="0"/>
              <w:bidi/>
              <w:rPr>
                <w:rFonts w:hint="default" w:ascii="Traditional Arabic" w:hAnsi="Traditional Arabic" w:cs="Traditional Arabic"/>
                <w:szCs w:val="28"/>
                <w:rtl/>
                <w:lang w:val="en-US" w:bidi="ar-SA"/>
              </w:rPr>
            </w:pP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الأدب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الاسلامي بين الرفض و التأييد</w:t>
            </w:r>
          </w:p>
        </w:tc>
      </w:tr>
      <w:tr w14:paraId="25DC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31EC7FCA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14:paraId="111C1E82">
            <w:pPr>
              <w:wordWrap w:val="0"/>
              <w:bidi/>
              <w:rPr>
                <w:rFonts w:hint="default" w:ascii="Traditional Arabic" w:hAnsi="Traditional Arabic" w:cs="Traditional Arabic"/>
                <w:szCs w:val="28"/>
                <w:rtl/>
                <w:lang w:val="en-US" w:bidi="ar-SA"/>
              </w:rPr>
            </w:pP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البعد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الأخلاقي في الأدب الإسلامي</w:t>
            </w:r>
          </w:p>
        </w:tc>
        <w:tc>
          <w:tcPr>
            <w:tcW w:w="709" w:type="dxa"/>
          </w:tcPr>
          <w:p w14:paraId="69E06B4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14:paraId="3B55037B">
            <w:pPr>
              <w:wordWrap w:val="0"/>
              <w:bidi/>
              <w:rPr>
                <w:rFonts w:hint="default" w:ascii="Traditional Arabic" w:hAnsi="Traditional Arabic"/>
                <w:szCs w:val="28"/>
                <w:rtl/>
                <w:lang w:val="en-US" w:bidi="ar-DZ"/>
              </w:rPr>
            </w:pP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الأدب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الاسلامي و المنجز السردي الحديث و المعاصر</w:t>
            </w:r>
          </w:p>
        </w:tc>
      </w:tr>
      <w:tr w14:paraId="5E75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963E08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14:paraId="44267721">
            <w:pPr>
              <w:wordWrap w:val="0"/>
              <w:bidi/>
              <w:rPr>
                <w:rFonts w:hint="default" w:ascii="Traditional Arabic" w:hAnsi="Traditional Arabic" w:cs="Traditional Arabic"/>
                <w:szCs w:val="28"/>
                <w:rtl/>
                <w:lang w:val="en-US" w:bidi="ar-SA"/>
              </w:rPr>
            </w:pP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قضية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الإلتزام في الأدب الإسلامي</w:t>
            </w:r>
          </w:p>
        </w:tc>
        <w:tc>
          <w:tcPr>
            <w:tcW w:w="709" w:type="dxa"/>
          </w:tcPr>
          <w:p w14:paraId="5F41907C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14:paraId="076B48C9">
            <w:pPr>
              <w:wordWrap w:val="0"/>
              <w:bidi/>
              <w:rPr>
                <w:rFonts w:hint="default" w:ascii="Traditional Arabic" w:hAnsi="Traditional Arabic"/>
                <w:szCs w:val="28"/>
                <w:rtl/>
                <w:lang w:val="en-US" w:bidi="ar-DZ"/>
              </w:rPr>
            </w:pP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الأدب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الاسلامي و المنجز الشعري المعاصر</w:t>
            </w:r>
          </w:p>
        </w:tc>
      </w:tr>
      <w:tr w14:paraId="1C97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3876450C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14:paraId="51A22A42">
            <w:pPr>
              <w:wordWrap w:val="0"/>
              <w:bidi/>
              <w:rPr>
                <w:rFonts w:hint="default" w:ascii="Traditional Arabic" w:hAnsi="Traditional Arabic" w:cs="Traditional Arabic"/>
                <w:szCs w:val="28"/>
                <w:rtl/>
                <w:lang w:val="en-US" w:bidi="ar-SA"/>
              </w:rPr>
            </w:pP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الإنسان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في الأدب الاسلامي</w:t>
            </w:r>
          </w:p>
        </w:tc>
        <w:tc>
          <w:tcPr>
            <w:tcW w:w="709" w:type="dxa"/>
          </w:tcPr>
          <w:p w14:paraId="16ADD381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14:paraId="702F3C55">
            <w:pPr>
              <w:wordWrap w:val="0"/>
              <w:bidi/>
              <w:rPr>
                <w:rFonts w:hint="default" w:ascii="Traditional Arabic" w:hAnsi="Traditional Arabic"/>
                <w:szCs w:val="28"/>
                <w:rtl/>
                <w:lang w:val="en-US" w:bidi="ar-DZ"/>
              </w:rPr>
            </w:pP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الأدب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الاسلامي و المنجز النقدي الاسلامي</w:t>
            </w:r>
          </w:p>
        </w:tc>
      </w:tr>
      <w:tr w14:paraId="6A94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254F9F4B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14:paraId="6A3F5CB2">
            <w:pPr>
              <w:wordWrap w:val="0"/>
              <w:bidi/>
              <w:rPr>
                <w:rFonts w:hint="default" w:ascii="Traditional Arabic" w:hAnsi="Traditional Arabic" w:cs="Traditional Arabic"/>
                <w:szCs w:val="28"/>
                <w:rtl/>
                <w:lang w:val="en-US" w:bidi="ar-SA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ا</w:t>
            </w: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لمرأة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في الأدب الإسلامي</w:t>
            </w:r>
          </w:p>
        </w:tc>
        <w:tc>
          <w:tcPr>
            <w:tcW w:w="709" w:type="dxa"/>
          </w:tcPr>
          <w:p w14:paraId="7B0F5CB8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14:paraId="6DE96709">
            <w:pPr>
              <w:wordWrap w:val="0"/>
              <w:bidi/>
              <w:rPr>
                <w:rFonts w:hint="default" w:ascii="Traditional Arabic" w:hAnsi="Traditional Arabic"/>
                <w:szCs w:val="28"/>
                <w:rtl/>
                <w:lang w:val="en-US" w:bidi="ar-DZ"/>
              </w:rPr>
            </w:pPr>
            <w:r>
              <w:rPr>
                <w:rFonts w:hint="cs" w:ascii="Traditional Arabic" w:hAnsi="Traditional Arabic" w:cs="Traditional Arabic"/>
                <w:szCs w:val="28"/>
                <w:rtl/>
                <w:lang w:bidi="ar-SA"/>
              </w:rPr>
              <w:t>الأدب</w:t>
            </w:r>
            <w:r>
              <w:rPr>
                <w:rFonts w:hint="cs" w:ascii="Traditional Arabic" w:hAnsi="Traditional Arabic" w:cs="Traditional Arabic"/>
                <w:szCs w:val="28"/>
                <w:rtl/>
                <w:lang w:val="en-US" w:bidi="ar-SA"/>
              </w:rPr>
              <w:t xml:space="preserve"> الاسلامي بين النظرية و التطبيق</w:t>
            </w:r>
          </w:p>
        </w:tc>
      </w:tr>
    </w:tbl>
    <w:p w14:paraId="089CDCEE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التقييم : مراقبة المعارف والترجيحات </w:t>
      </w:r>
    </w:p>
    <w:p w14:paraId="05CCBE30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6"/>
        <w:bidiVisual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552"/>
      </w:tblGrid>
      <w:tr w14:paraId="460C6EB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0E86BC14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14:paraId="443C7184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14:paraId="42BE685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314F4491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14:paraId="4DD170EA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14:paraId="72507061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14:paraId="79E306B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14:paraId="038DA74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14:paraId="0C355E91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14:paraId="047ABDA9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14:paraId="02E549B6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50.</w:t>
            </w:r>
            <w:r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14:paraId="755C59DC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14:paraId="01825FAC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.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14:paraId="0FA949E9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14:paraId="344E5C89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14:paraId="0EEC1DF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.....10.......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  <w:p w14:paraId="37510D42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.....10.......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</w:tc>
      </w:tr>
      <w:tr w14:paraId="36F74B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3DD66E8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14:paraId="3C8A440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14:paraId="3697363A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40CA8A35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المراجع البيبليوغرافية :</w:t>
      </w:r>
    </w:p>
    <w:p w14:paraId="1ABC45B3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64321992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hint="cs" w:ascii="Traditional Arabic" w:hAnsi="Traditional Arabic"/>
          <w:szCs w:val="28"/>
          <w:rtl/>
          <w:lang w:bidi="ar-DZ"/>
        </w:rPr>
        <w:t>كتب ، مطبوعات، مواقع الكترونيا</w:t>
      </w:r>
    </w:p>
    <w:p w14:paraId="0B9DDE0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hint="cs" w:ascii="Traditional Arabic" w:hAnsi="Traditional Arabic"/>
          <w:szCs w:val="28"/>
          <w:rtl/>
          <w:lang w:bidi="ar-DZ"/>
        </w:rPr>
        <w:t>كل الوسائط</w:t>
      </w:r>
    </w:p>
    <w:p w14:paraId="5BD059D7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7020B7B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14:paraId="167BB02C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hint="cs" w:ascii="Traditional Arabic" w:hAnsi="Traditional Arabic" w:cs="Traditional Arabic"/>
          <w:szCs w:val="28"/>
          <w:rtl/>
          <w:lang w:val="en-US" w:bidi="ar-SA"/>
        </w:rPr>
        <w:t>03-10</w:t>
      </w:r>
      <w:r>
        <w:rPr>
          <w:rFonts w:hint="cs" w:ascii="Traditional Arabic" w:hAnsi="Traditional Arabic"/>
          <w:szCs w:val="28"/>
          <w:rtl/>
          <w:lang w:bidi="ar-DZ"/>
        </w:rPr>
        <w:t>-2024</w:t>
      </w:r>
    </w:p>
    <w:p w14:paraId="6650463A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>
        <w:rPr>
          <w:rFonts w:ascii="Traditional Arabic" w:hAnsi="Traditional Arabic"/>
          <w:b/>
          <w:bCs/>
          <w:szCs w:val="28"/>
          <w:lang w:bidi="ar-DZ"/>
        </w:rPr>
        <w:t>Syllabus</w:t>
      </w: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 ( 2/2)</w:t>
      </w:r>
    </w:p>
    <w:sectPr>
      <w:pgSz w:w="11906" w:h="16838"/>
      <w:pgMar w:top="567" w:right="849" w:bottom="567" w:left="993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script"/>
    <w:pitch w:val="default"/>
    <w:sig w:usb0="A000206F" w:usb1="C0000000" w:usb2="00000008" w:usb3="00000000" w:csb0="200000D3" w:csb1="00000000"/>
  </w:font>
  <w:font w:name="Traditional Arabic">
    <w:panose1 w:val="02020603050405020304"/>
    <w:charset w:val="00"/>
    <w:family w:val="roman"/>
    <w:pitch w:val="default"/>
    <w:sig w:usb0="00006003" w:usb1="80000000" w:usb2="00000008" w:usb3="00000000" w:csb0="00000041" w:csb1="200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758CF"/>
    <w:multiLevelType w:val="multilevel"/>
    <w:tmpl w:val="464758CF"/>
    <w:lvl w:ilvl="0" w:tentative="0">
      <w:start w:val="0"/>
      <w:numFmt w:val="bullet"/>
      <w:lvlText w:val="-"/>
      <w:lvlJc w:val="left"/>
      <w:pPr>
        <w:ind w:left="1070" w:hanging="360"/>
      </w:pPr>
      <w:rPr>
        <w:rFonts w:hint="default" w:ascii="Traditional Arabic" w:hAnsi="Traditional Arabic" w:cs="Traditional Arabic" w:eastAsiaTheme="minorHAnsi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2FCD"/>
    <w:rsid w:val="0002288A"/>
    <w:rsid w:val="000D592B"/>
    <w:rsid w:val="002022BB"/>
    <w:rsid w:val="00230E6A"/>
    <w:rsid w:val="002F6E38"/>
    <w:rsid w:val="00311F0A"/>
    <w:rsid w:val="00375BE8"/>
    <w:rsid w:val="003768E8"/>
    <w:rsid w:val="00382A0F"/>
    <w:rsid w:val="003A716D"/>
    <w:rsid w:val="003E5433"/>
    <w:rsid w:val="003F065A"/>
    <w:rsid w:val="003F3FF0"/>
    <w:rsid w:val="00494B58"/>
    <w:rsid w:val="004D2FCD"/>
    <w:rsid w:val="004D41F9"/>
    <w:rsid w:val="00507115"/>
    <w:rsid w:val="005358C3"/>
    <w:rsid w:val="00541397"/>
    <w:rsid w:val="005C41D3"/>
    <w:rsid w:val="0061305E"/>
    <w:rsid w:val="00667B9A"/>
    <w:rsid w:val="00682DAE"/>
    <w:rsid w:val="006F0D6E"/>
    <w:rsid w:val="00726151"/>
    <w:rsid w:val="00752A2F"/>
    <w:rsid w:val="00761768"/>
    <w:rsid w:val="0076645F"/>
    <w:rsid w:val="007B6D4C"/>
    <w:rsid w:val="007D7B33"/>
    <w:rsid w:val="00852A23"/>
    <w:rsid w:val="008969A5"/>
    <w:rsid w:val="009627C1"/>
    <w:rsid w:val="00A87070"/>
    <w:rsid w:val="00AC5E02"/>
    <w:rsid w:val="00B1323E"/>
    <w:rsid w:val="00B176C0"/>
    <w:rsid w:val="00BA31CB"/>
    <w:rsid w:val="00BB60A2"/>
    <w:rsid w:val="00C11A00"/>
    <w:rsid w:val="00C16341"/>
    <w:rsid w:val="00C45498"/>
    <w:rsid w:val="00C541C4"/>
    <w:rsid w:val="00C82402"/>
    <w:rsid w:val="00C914C0"/>
    <w:rsid w:val="00CD6A17"/>
    <w:rsid w:val="00D72464"/>
    <w:rsid w:val="00DE1C21"/>
    <w:rsid w:val="00E45B7E"/>
    <w:rsid w:val="00EA2CFC"/>
    <w:rsid w:val="00EF19C6"/>
    <w:rsid w:val="00FA590D"/>
    <w:rsid w:val="66C861A8"/>
    <w:rsid w:val="75495D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Arabic Typesetting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raditional Arabic" w:eastAsiaTheme="minorHAnsi"/>
      <w:sz w:val="28"/>
      <w:szCs w:val="40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</w:rPr>
  </w:style>
  <w:style w:type="table" w:styleId="6">
    <w:name w:val="Table Grid"/>
    <w:basedOn w:val="3"/>
    <w:uiPriority w:val="59"/>
    <w:pPr>
      <w:spacing w:after="0" w:line="240" w:lineRule="auto"/>
    </w:pPr>
    <w:rPr>
      <w:rFonts w:cs="Traditional Arabic"/>
      <w:sz w:val="28"/>
      <w:szCs w:val="4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exte de bulles C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rdkc</Company>
  <Pages>2</Pages>
  <Words>283</Words>
  <Characters>1562</Characters>
  <Lines>13</Lines>
  <Paragraphs>3</Paragraphs>
  <TotalTime>16</TotalTime>
  <ScaleCrop>false</ScaleCrop>
  <LinksUpToDate>false</LinksUpToDate>
  <CharactersWithSpaces>1842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2019-12-03T08:42:00Z</dcterms:created>
  <dc:creator>Windows 8.1</dc:creator>
  <cp:lastModifiedBy>Pc</cp:lastModifiedBy>
  <cp:lastPrinted>2023-09-27T10:16:00Z</cp:lastPrinted>
  <dcterms:modified xsi:type="dcterms:W3CDTF">2024-11-07T15:45:17Z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993A2C2AEAE045EF8667106612392670_12</vt:lpwstr>
  </property>
</Properties>
</file>