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73" w:rsidRPr="00800A7E" w:rsidRDefault="00BC0673" w:rsidP="007648C3">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Université 08 Mai 1945 – Guelma.</w:t>
      </w:r>
    </w:p>
    <w:p w:rsidR="00BC0673" w:rsidRPr="00800A7E" w:rsidRDefault="00BC0673" w:rsidP="007648C3">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Département des sciences juridique et administrative.</w:t>
      </w:r>
    </w:p>
    <w:p w:rsidR="00BC0673" w:rsidRPr="00800A7E" w:rsidRDefault="00BC0673" w:rsidP="007648C3">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Première année Droit.</w:t>
      </w:r>
    </w:p>
    <w:p w:rsidR="00800A7E" w:rsidRDefault="00800A7E" w:rsidP="00800A7E">
      <w:pPr>
        <w:spacing w:line="276" w:lineRule="auto"/>
        <w:ind w:firstLine="0"/>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L’organisation des pouvoirs en Algérie</w:t>
      </w:r>
    </w:p>
    <w:p w:rsidR="00FB2B79" w:rsidRPr="00FB2B79" w:rsidRDefault="00800A7E" w:rsidP="00FB2B79">
      <w:pPr>
        <w:spacing w:before="0" w:after="240" w:line="276" w:lineRule="auto"/>
        <w:ind w:firstLine="0"/>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I</w:t>
      </w:r>
      <w:r w:rsidR="00FB2B79">
        <w:rPr>
          <w:rFonts w:ascii="Times New Roman" w:eastAsia="Times New Roman" w:hAnsi="Times New Roman" w:cs="Times New Roman"/>
          <w:b/>
          <w:bCs/>
          <w:sz w:val="27"/>
          <w:szCs w:val="27"/>
          <w:lang w:eastAsia="fr-FR"/>
        </w:rPr>
        <w:t>I</w:t>
      </w:r>
      <w:r>
        <w:rPr>
          <w:rFonts w:ascii="Times New Roman" w:eastAsia="Times New Roman" w:hAnsi="Times New Roman" w:cs="Times New Roman"/>
          <w:b/>
          <w:bCs/>
          <w:sz w:val="27"/>
          <w:szCs w:val="27"/>
          <w:lang w:eastAsia="fr-FR"/>
        </w:rPr>
        <w:t xml:space="preserve">I - Le Pouvoir </w:t>
      </w:r>
      <w:r w:rsidR="00FB2B79">
        <w:rPr>
          <w:rFonts w:ascii="Times New Roman" w:eastAsia="Times New Roman" w:hAnsi="Times New Roman" w:cs="Times New Roman"/>
          <w:b/>
          <w:bCs/>
          <w:sz w:val="27"/>
          <w:szCs w:val="27"/>
          <w:lang w:eastAsia="fr-FR"/>
        </w:rPr>
        <w:t>Judiciaire</w:t>
      </w:r>
    </w:p>
    <w:p w:rsidR="00CE10BE" w:rsidRPr="00CE10BE" w:rsidRDefault="00CE10BE" w:rsidP="00200F4E">
      <w:pPr>
        <w:spacing w:line="276" w:lineRule="auto"/>
        <w:ind w:firstLine="284"/>
        <w:rPr>
          <w:rFonts w:asciiTheme="majorBidi" w:eastAsia="Times New Roman" w:hAnsiTheme="majorBidi" w:cstheme="majorBidi"/>
          <w:sz w:val="26"/>
          <w:szCs w:val="26"/>
          <w:lang w:eastAsia="fr-FR"/>
        </w:rPr>
      </w:pPr>
      <w:r w:rsidRPr="00CE10BE">
        <w:rPr>
          <w:rFonts w:asciiTheme="majorBidi" w:eastAsia="Times New Roman" w:hAnsiTheme="majorBidi" w:cstheme="majorBidi"/>
          <w:sz w:val="26"/>
          <w:szCs w:val="26"/>
          <w:lang w:eastAsia="fr-FR"/>
        </w:rPr>
        <w:t xml:space="preserve">Fondée sur les principes de </w:t>
      </w:r>
      <w:r w:rsidRPr="00FB2B79">
        <w:rPr>
          <w:rFonts w:asciiTheme="majorBidi" w:eastAsia="Times New Roman" w:hAnsiTheme="majorBidi" w:cstheme="majorBidi"/>
          <w:sz w:val="26"/>
          <w:szCs w:val="26"/>
          <w:u w:val="single"/>
          <w:lang w:eastAsia="fr-FR"/>
        </w:rPr>
        <w:t>légalité</w:t>
      </w:r>
      <w:r w:rsidRPr="00CE10BE">
        <w:rPr>
          <w:rFonts w:asciiTheme="majorBidi" w:eastAsia="Times New Roman" w:hAnsiTheme="majorBidi" w:cstheme="majorBidi"/>
          <w:sz w:val="26"/>
          <w:szCs w:val="26"/>
          <w:lang w:eastAsia="fr-FR"/>
        </w:rPr>
        <w:t xml:space="preserve"> et </w:t>
      </w:r>
      <w:r w:rsidRPr="00FB2B79">
        <w:rPr>
          <w:rFonts w:asciiTheme="majorBidi" w:eastAsia="Times New Roman" w:hAnsiTheme="majorBidi" w:cstheme="majorBidi"/>
          <w:sz w:val="26"/>
          <w:szCs w:val="26"/>
          <w:u w:val="single"/>
          <w:lang w:eastAsia="fr-FR"/>
        </w:rPr>
        <w:t>d’égalité</w:t>
      </w:r>
      <w:r w:rsidRPr="00CE10BE">
        <w:rPr>
          <w:rFonts w:asciiTheme="majorBidi" w:eastAsia="Times New Roman" w:hAnsiTheme="majorBidi" w:cstheme="majorBidi"/>
          <w:sz w:val="26"/>
          <w:szCs w:val="26"/>
          <w:lang w:eastAsia="fr-FR"/>
        </w:rPr>
        <w:t xml:space="preserve">, le système judiciaire institué protège la société et les libertés. Il garantit, à tous et à chacun, la sauvegarde de leurs droits fondamentaux. </w:t>
      </w:r>
    </w:p>
    <w:p w:rsidR="00CE10BE" w:rsidRPr="00CE10BE" w:rsidRDefault="00CE10BE" w:rsidP="00200F4E">
      <w:pPr>
        <w:spacing w:before="0" w:line="276" w:lineRule="auto"/>
        <w:ind w:firstLine="284"/>
        <w:rPr>
          <w:rFonts w:asciiTheme="majorBidi" w:eastAsia="Times New Roman" w:hAnsiTheme="majorBidi" w:cstheme="majorBidi"/>
          <w:sz w:val="26"/>
          <w:szCs w:val="26"/>
          <w:lang w:eastAsia="fr-FR"/>
        </w:rPr>
      </w:pPr>
      <w:r w:rsidRPr="00CE10BE">
        <w:rPr>
          <w:rFonts w:asciiTheme="majorBidi" w:eastAsia="Times New Roman" w:hAnsiTheme="majorBidi" w:cstheme="majorBidi"/>
          <w:sz w:val="26"/>
          <w:szCs w:val="26"/>
          <w:lang w:eastAsia="fr-FR"/>
        </w:rPr>
        <w:t xml:space="preserve">Les </w:t>
      </w:r>
      <w:r w:rsidRPr="00FB2B79">
        <w:rPr>
          <w:rFonts w:asciiTheme="majorBidi" w:eastAsia="Times New Roman" w:hAnsiTheme="majorBidi" w:cstheme="majorBidi"/>
          <w:sz w:val="26"/>
          <w:szCs w:val="26"/>
          <w:u w:val="single"/>
          <w:lang w:eastAsia="fr-FR"/>
        </w:rPr>
        <w:t>sanctions pénales</w:t>
      </w:r>
      <w:r w:rsidRPr="00CE10BE">
        <w:rPr>
          <w:rFonts w:asciiTheme="majorBidi" w:eastAsia="Times New Roman" w:hAnsiTheme="majorBidi" w:cstheme="majorBidi"/>
          <w:sz w:val="26"/>
          <w:szCs w:val="26"/>
          <w:lang w:eastAsia="fr-FR"/>
        </w:rPr>
        <w:t xml:space="preserve"> obéissent aux principes de </w:t>
      </w:r>
      <w:r w:rsidRPr="00FB2B79">
        <w:rPr>
          <w:rFonts w:asciiTheme="majorBidi" w:eastAsia="Times New Roman" w:hAnsiTheme="majorBidi" w:cstheme="majorBidi"/>
          <w:sz w:val="26"/>
          <w:szCs w:val="26"/>
          <w:u w:val="single"/>
          <w:lang w:eastAsia="fr-FR"/>
        </w:rPr>
        <w:t>légalité</w:t>
      </w:r>
      <w:r w:rsidRPr="00CE10BE">
        <w:rPr>
          <w:rFonts w:asciiTheme="majorBidi" w:eastAsia="Times New Roman" w:hAnsiTheme="majorBidi" w:cstheme="majorBidi"/>
          <w:sz w:val="26"/>
          <w:szCs w:val="26"/>
          <w:lang w:eastAsia="fr-FR"/>
        </w:rPr>
        <w:t xml:space="preserve"> et de personnalité. En outre, La justice connaît des recours à l’encontre des actes des autorités administratives.</w:t>
      </w:r>
    </w:p>
    <w:p w:rsidR="00CE10BE" w:rsidRPr="00CE10BE" w:rsidRDefault="00CE10BE" w:rsidP="00200F4E">
      <w:pPr>
        <w:spacing w:before="0" w:line="276" w:lineRule="auto"/>
        <w:ind w:firstLine="284"/>
        <w:rPr>
          <w:rFonts w:asciiTheme="majorBidi" w:eastAsia="Times New Roman" w:hAnsiTheme="majorBidi" w:cstheme="majorBidi"/>
          <w:sz w:val="26"/>
          <w:szCs w:val="26"/>
          <w:lang w:eastAsia="fr-FR"/>
        </w:rPr>
      </w:pPr>
      <w:r w:rsidRPr="00CE10BE">
        <w:rPr>
          <w:rFonts w:asciiTheme="majorBidi" w:eastAsia="Times New Roman" w:hAnsiTheme="majorBidi" w:cstheme="majorBidi"/>
          <w:sz w:val="26"/>
          <w:szCs w:val="26"/>
          <w:lang w:eastAsia="fr-FR"/>
        </w:rPr>
        <w:t xml:space="preserve">Le juge est protégé contre toutes formes de pressions et n’obéit qu’à la loi. Il est responsable seulement devant le </w:t>
      </w:r>
      <w:r w:rsidRPr="00FB2B79">
        <w:rPr>
          <w:rFonts w:asciiTheme="majorBidi" w:eastAsia="Times New Roman" w:hAnsiTheme="majorBidi" w:cstheme="majorBidi"/>
          <w:sz w:val="26"/>
          <w:szCs w:val="26"/>
          <w:u w:val="single"/>
          <w:lang w:eastAsia="fr-FR"/>
        </w:rPr>
        <w:t>Conseil supérieur de la magistrature</w:t>
      </w:r>
      <w:r w:rsidRPr="00CE10BE">
        <w:rPr>
          <w:rFonts w:asciiTheme="majorBidi" w:eastAsia="Times New Roman" w:hAnsiTheme="majorBidi" w:cstheme="majorBidi"/>
          <w:sz w:val="26"/>
          <w:szCs w:val="26"/>
          <w:lang w:eastAsia="fr-FR"/>
        </w:rPr>
        <w:t>.</w:t>
      </w:r>
    </w:p>
    <w:p w:rsidR="00CE10BE" w:rsidRPr="00CE10BE" w:rsidRDefault="00CE10BE" w:rsidP="00200F4E">
      <w:pPr>
        <w:spacing w:before="0" w:line="276" w:lineRule="auto"/>
        <w:ind w:firstLine="284"/>
        <w:rPr>
          <w:rFonts w:asciiTheme="majorBidi" w:eastAsia="Times New Roman" w:hAnsiTheme="majorBidi" w:cstheme="majorBidi"/>
          <w:sz w:val="26"/>
          <w:szCs w:val="26"/>
          <w:lang w:eastAsia="fr-FR"/>
        </w:rPr>
      </w:pPr>
      <w:r w:rsidRPr="00CE10BE">
        <w:rPr>
          <w:rFonts w:asciiTheme="majorBidi" w:eastAsia="Times New Roman" w:hAnsiTheme="majorBidi" w:cstheme="majorBidi"/>
          <w:sz w:val="26"/>
          <w:szCs w:val="26"/>
          <w:lang w:eastAsia="fr-FR"/>
        </w:rPr>
        <w:t xml:space="preserve">Le système judiciaire algérien se caractérise par </w:t>
      </w:r>
      <w:r w:rsidRPr="00FB2B79">
        <w:rPr>
          <w:rFonts w:asciiTheme="majorBidi" w:eastAsia="Times New Roman" w:hAnsiTheme="majorBidi" w:cstheme="majorBidi"/>
          <w:sz w:val="26"/>
          <w:szCs w:val="26"/>
          <w:u w:val="single"/>
          <w:lang w:eastAsia="fr-FR"/>
        </w:rPr>
        <w:t>le double degré de juridiction</w:t>
      </w:r>
      <w:r w:rsidRPr="00CE10BE">
        <w:rPr>
          <w:rFonts w:asciiTheme="majorBidi" w:eastAsia="Times New Roman" w:hAnsiTheme="majorBidi" w:cstheme="majorBidi"/>
          <w:sz w:val="26"/>
          <w:szCs w:val="26"/>
          <w:lang w:eastAsia="fr-FR"/>
        </w:rPr>
        <w:t xml:space="preserve"> (tribunaux – cours) et par </w:t>
      </w:r>
      <w:proofErr w:type="spellStart"/>
      <w:r w:rsidRPr="00CE10BE">
        <w:rPr>
          <w:rFonts w:asciiTheme="majorBidi" w:eastAsia="Times New Roman" w:hAnsiTheme="majorBidi" w:cstheme="majorBidi"/>
          <w:sz w:val="26"/>
          <w:szCs w:val="26"/>
          <w:lang w:eastAsia="fr-FR"/>
        </w:rPr>
        <w:t>par</w:t>
      </w:r>
      <w:proofErr w:type="spellEnd"/>
      <w:r w:rsidRPr="00CE10BE">
        <w:rPr>
          <w:rFonts w:asciiTheme="majorBidi" w:eastAsia="Times New Roman" w:hAnsiTheme="majorBidi" w:cstheme="majorBidi"/>
          <w:sz w:val="26"/>
          <w:szCs w:val="26"/>
          <w:lang w:eastAsia="fr-FR"/>
        </w:rPr>
        <w:t xml:space="preserve"> la </w:t>
      </w:r>
      <w:r w:rsidRPr="00FB2B79">
        <w:rPr>
          <w:rFonts w:asciiTheme="majorBidi" w:eastAsia="Times New Roman" w:hAnsiTheme="majorBidi" w:cstheme="majorBidi"/>
          <w:sz w:val="26"/>
          <w:szCs w:val="26"/>
          <w:u w:val="single"/>
          <w:lang w:eastAsia="fr-FR"/>
        </w:rPr>
        <w:t>dualité de juridiction</w:t>
      </w:r>
      <w:r w:rsidRPr="00CE10BE">
        <w:rPr>
          <w:rFonts w:asciiTheme="majorBidi" w:eastAsia="Times New Roman" w:hAnsiTheme="majorBidi" w:cstheme="majorBidi"/>
          <w:sz w:val="26"/>
          <w:szCs w:val="26"/>
          <w:lang w:eastAsia="fr-FR"/>
        </w:rPr>
        <w:t xml:space="preserve"> (l’ordre judiciaire et l’ordre administratif)</w:t>
      </w:r>
    </w:p>
    <w:p w:rsidR="00102ECA" w:rsidRPr="00200F4E" w:rsidRDefault="00200F4E" w:rsidP="0047368C">
      <w:pPr>
        <w:spacing w:line="276" w:lineRule="auto"/>
        <w:ind w:firstLine="0"/>
        <w:jc w:val="center"/>
        <w:rPr>
          <w:rFonts w:asciiTheme="majorBidi" w:hAnsiTheme="majorBidi" w:cstheme="majorBidi"/>
          <w:b/>
          <w:bCs/>
          <w:sz w:val="26"/>
          <w:szCs w:val="26"/>
          <w:u w:val="single"/>
        </w:rPr>
      </w:pPr>
      <w:r w:rsidRPr="00200F4E">
        <w:rPr>
          <w:rFonts w:asciiTheme="majorBidi" w:hAnsiTheme="majorBidi" w:cstheme="majorBidi"/>
          <w:b/>
          <w:bCs/>
          <w:sz w:val="26"/>
          <w:szCs w:val="26"/>
          <w:u w:val="single"/>
        </w:rPr>
        <w:t xml:space="preserve">L’ordre judiciaire </w:t>
      </w:r>
      <w:r w:rsidR="00102ECA" w:rsidRPr="00200F4E">
        <w:rPr>
          <w:rFonts w:asciiTheme="majorBidi" w:hAnsiTheme="majorBidi" w:cstheme="majorBidi"/>
          <w:b/>
          <w:bCs/>
          <w:sz w:val="26"/>
          <w:szCs w:val="26"/>
          <w:u w:val="single"/>
        </w:rPr>
        <w:t xml:space="preserve"> comprend :</w:t>
      </w:r>
    </w:p>
    <w:p w:rsidR="00CE10BE" w:rsidRPr="003C4FBF" w:rsidRDefault="00102ECA" w:rsidP="00200F4E">
      <w:pPr>
        <w:spacing w:before="0" w:line="276" w:lineRule="auto"/>
        <w:ind w:firstLine="0"/>
        <w:rPr>
          <w:rFonts w:asciiTheme="majorBidi" w:eastAsia="Times New Roman" w:hAnsiTheme="majorBidi" w:cstheme="majorBidi"/>
          <w:sz w:val="26"/>
          <w:szCs w:val="26"/>
          <w:lang w:eastAsia="fr-FR"/>
        </w:rPr>
      </w:pPr>
      <w:r w:rsidRPr="003C4FBF">
        <w:rPr>
          <w:rFonts w:asciiTheme="majorBidi" w:eastAsia="Times New Roman" w:hAnsiTheme="majorBidi" w:cstheme="majorBidi"/>
          <w:sz w:val="26"/>
          <w:szCs w:val="26"/>
          <w:lang w:eastAsia="fr-FR"/>
        </w:rPr>
        <w:t xml:space="preserve">1- </w:t>
      </w:r>
      <w:r w:rsidR="00CE10BE" w:rsidRPr="003C4FBF">
        <w:rPr>
          <w:rFonts w:asciiTheme="majorBidi" w:eastAsia="Times New Roman" w:hAnsiTheme="majorBidi" w:cstheme="majorBidi"/>
          <w:sz w:val="26"/>
          <w:szCs w:val="26"/>
          <w:lang w:eastAsia="fr-FR"/>
        </w:rPr>
        <w:t xml:space="preserve">Au sommet du système </w:t>
      </w:r>
      <w:proofErr w:type="spellStart"/>
      <w:r w:rsidR="00CE10BE" w:rsidRPr="003C4FBF">
        <w:rPr>
          <w:rFonts w:asciiTheme="majorBidi" w:eastAsia="Times New Roman" w:hAnsiTheme="majorBidi" w:cstheme="majorBidi"/>
          <w:sz w:val="26"/>
          <w:szCs w:val="26"/>
          <w:lang w:eastAsia="fr-FR"/>
        </w:rPr>
        <w:t>judiciare</w:t>
      </w:r>
      <w:proofErr w:type="spellEnd"/>
      <w:r w:rsidR="003C4FBF">
        <w:rPr>
          <w:rFonts w:asciiTheme="majorBidi" w:eastAsia="Times New Roman" w:hAnsiTheme="majorBidi" w:cstheme="majorBidi"/>
          <w:sz w:val="26"/>
          <w:szCs w:val="26"/>
          <w:lang w:eastAsia="fr-FR"/>
        </w:rPr>
        <w:t> :</w:t>
      </w:r>
    </w:p>
    <w:p w:rsidR="00CE10BE" w:rsidRPr="00200F4E" w:rsidRDefault="00CE10BE" w:rsidP="00200F4E">
      <w:pPr>
        <w:numPr>
          <w:ilvl w:val="0"/>
          <w:numId w:val="3"/>
        </w:numPr>
        <w:spacing w:before="0" w:line="276" w:lineRule="auto"/>
        <w:ind w:left="0"/>
        <w:rPr>
          <w:rFonts w:asciiTheme="majorBidi" w:eastAsia="Times New Roman" w:hAnsiTheme="majorBidi" w:cstheme="majorBidi"/>
          <w:sz w:val="26"/>
          <w:szCs w:val="26"/>
          <w:lang w:eastAsia="fr-FR"/>
        </w:rPr>
      </w:pPr>
      <w:r w:rsidRPr="003C4FBF">
        <w:rPr>
          <w:rFonts w:asciiTheme="majorBidi" w:eastAsia="Times New Roman" w:hAnsiTheme="majorBidi" w:cstheme="majorBidi"/>
          <w:b/>
          <w:bCs/>
          <w:sz w:val="26"/>
          <w:szCs w:val="26"/>
          <w:u w:val="single"/>
          <w:lang w:eastAsia="fr-FR"/>
        </w:rPr>
        <w:t>La Cour suprême</w:t>
      </w:r>
      <w:r w:rsidRPr="00CE10BE">
        <w:rPr>
          <w:rFonts w:asciiTheme="majorBidi" w:eastAsia="Times New Roman" w:hAnsiTheme="majorBidi" w:cstheme="majorBidi"/>
          <w:sz w:val="26"/>
          <w:szCs w:val="26"/>
          <w:lang w:eastAsia="fr-FR"/>
        </w:rPr>
        <w:t xml:space="preserve"> : constitue la plus haute institution judiciaire. Elle évalue les travaux des cours et </w:t>
      </w:r>
      <w:r w:rsidR="007676DD" w:rsidRPr="00200F4E">
        <w:rPr>
          <w:rFonts w:asciiTheme="majorBidi" w:eastAsia="Times New Roman" w:hAnsiTheme="majorBidi" w:cstheme="majorBidi"/>
          <w:sz w:val="26"/>
          <w:szCs w:val="26"/>
          <w:lang w:eastAsia="fr-FR"/>
        </w:rPr>
        <w:t>tribunaux, garantit</w:t>
      </w:r>
      <w:r w:rsidRPr="00CE10BE">
        <w:rPr>
          <w:rFonts w:asciiTheme="majorBidi" w:eastAsia="Times New Roman" w:hAnsiTheme="majorBidi" w:cstheme="majorBidi"/>
          <w:sz w:val="26"/>
          <w:szCs w:val="26"/>
          <w:lang w:eastAsia="fr-FR"/>
        </w:rPr>
        <w:t xml:space="preserve"> </w:t>
      </w:r>
      <w:r w:rsidRPr="00FB2B79">
        <w:rPr>
          <w:rFonts w:asciiTheme="majorBidi" w:eastAsia="Times New Roman" w:hAnsiTheme="majorBidi" w:cstheme="majorBidi"/>
          <w:sz w:val="26"/>
          <w:szCs w:val="26"/>
          <w:u w:val="single"/>
          <w:lang w:eastAsia="fr-FR"/>
        </w:rPr>
        <w:t>l’unification</w:t>
      </w:r>
      <w:r w:rsidRPr="00CE10BE">
        <w:rPr>
          <w:rFonts w:asciiTheme="majorBidi" w:eastAsia="Times New Roman" w:hAnsiTheme="majorBidi" w:cstheme="majorBidi"/>
          <w:sz w:val="26"/>
          <w:szCs w:val="26"/>
          <w:lang w:eastAsia="fr-FR"/>
        </w:rPr>
        <w:t xml:space="preserve"> de la </w:t>
      </w:r>
      <w:r w:rsidRPr="00FB2B79">
        <w:rPr>
          <w:rFonts w:asciiTheme="majorBidi" w:eastAsia="Times New Roman" w:hAnsiTheme="majorBidi" w:cstheme="majorBidi"/>
          <w:sz w:val="26"/>
          <w:szCs w:val="26"/>
          <w:u w:val="single"/>
          <w:lang w:eastAsia="fr-FR"/>
        </w:rPr>
        <w:t>jurisprudence</w:t>
      </w:r>
      <w:r w:rsidRPr="00CE10BE">
        <w:rPr>
          <w:rFonts w:asciiTheme="majorBidi" w:eastAsia="Times New Roman" w:hAnsiTheme="majorBidi" w:cstheme="majorBidi"/>
          <w:sz w:val="26"/>
          <w:szCs w:val="26"/>
          <w:lang w:eastAsia="fr-FR"/>
        </w:rPr>
        <w:t xml:space="preserve"> de l’ordre judiciaire sur l’ensemble du territoire national et veille au respect de la loi.</w:t>
      </w:r>
    </w:p>
    <w:p w:rsidR="007676DD" w:rsidRPr="00CE10BE" w:rsidRDefault="007676DD" w:rsidP="00200F4E">
      <w:pPr>
        <w:spacing w:before="0" w:line="276" w:lineRule="auto"/>
        <w:ind w:firstLine="0"/>
        <w:rPr>
          <w:rFonts w:asciiTheme="majorBidi" w:eastAsia="Times New Roman" w:hAnsiTheme="majorBidi" w:cstheme="majorBidi"/>
          <w:sz w:val="26"/>
          <w:szCs w:val="26"/>
          <w:lang w:eastAsia="fr-FR"/>
        </w:rPr>
      </w:pPr>
      <w:r w:rsidRPr="00200F4E">
        <w:rPr>
          <w:rFonts w:asciiTheme="majorBidi" w:eastAsia="Times New Roman" w:hAnsiTheme="majorBidi" w:cstheme="majorBidi"/>
          <w:b/>
          <w:bCs/>
          <w:sz w:val="26"/>
          <w:szCs w:val="26"/>
          <w:lang w:eastAsia="fr-FR"/>
        </w:rPr>
        <w:t xml:space="preserve">Elle est composée de huit 08 chambres : </w:t>
      </w:r>
      <w:r w:rsidRPr="00200F4E">
        <w:rPr>
          <w:rFonts w:asciiTheme="majorBidi" w:hAnsiTheme="majorBidi" w:cstheme="majorBidi"/>
          <w:sz w:val="26"/>
          <w:szCs w:val="26"/>
        </w:rPr>
        <w:t xml:space="preserve">civile, foncière, sociale, criminelle, délits et </w:t>
      </w:r>
      <w:r w:rsidRPr="00FB2B79">
        <w:rPr>
          <w:rFonts w:asciiTheme="majorBidi" w:hAnsiTheme="majorBidi" w:cstheme="majorBidi"/>
          <w:sz w:val="26"/>
          <w:szCs w:val="26"/>
          <w:u w:val="single"/>
        </w:rPr>
        <w:t>contraventions</w:t>
      </w:r>
      <w:r w:rsidRPr="00200F4E">
        <w:rPr>
          <w:rFonts w:asciiTheme="majorBidi" w:hAnsiTheme="majorBidi" w:cstheme="majorBidi"/>
          <w:sz w:val="26"/>
          <w:szCs w:val="26"/>
        </w:rPr>
        <w:t>, statut personnel, chambre commerciale et maritime et chambre des requêtes.</w:t>
      </w:r>
    </w:p>
    <w:p w:rsidR="00CE10BE" w:rsidRPr="00CE10BE" w:rsidRDefault="00CE10BE" w:rsidP="00200F4E">
      <w:pPr>
        <w:numPr>
          <w:ilvl w:val="0"/>
          <w:numId w:val="3"/>
        </w:numPr>
        <w:spacing w:before="0" w:line="276" w:lineRule="auto"/>
        <w:ind w:left="0"/>
        <w:rPr>
          <w:rFonts w:asciiTheme="majorBidi" w:eastAsia="Times New Roman" w:hAnsiTheme="majorBidi" w:cstheme="majorBidi"/>
          <w:sz w:val="26"/>
          <w:szCs w:val="26"/>
          <w:lang w:eastAsia="fr-FR"/>
        </w:rPr>
      </w:pPr>
      <w:r w:rsidRPr="003C4FBF">
        <w:rPr>
          <w:rFonts w:asciiTheme="majorBidi" w:eastAsia="Times New Roman" w:hAnsiTheme="majorBidi" w:cstheme="majorBidi"/>
          <w:b/>
          <w:bCs/>
          <w:sz w:val="26"/>
          <w:szCs w:val="26"/>
          <w:u w:val="single"/>
          <w:lang w:eastAsia="fr-FR"/>
        </w:rPr>
        <w:t>Le Conseil d’état</w:t>
      </w:r>
      <w:r w:rsidRPr="00CE10BE">
        <w:rPr>
          <w:rFonts w:asciiTheme="majorBidi" w:eastAsia="Times New Roman" w:hAnsiTheme="majorBidi" w:cstheme="majorBidi"/>
          <w:sz w:val="26"/>
          <w:szCs w:val="26"/>
          <w:lang w:eastAsia="fr-FR"/>
        </w:rPr>
        <w:t xml:space="preserve"> : constitue l’organe régulateur de l’activité des juridictions administratives. Il donne son avis sur les projets de lois avant leur examen par le conseil des ministres. Il jouit de l’indépendance dans l’exercice de ses compétences judiciaires. </w:t>
      </w:r>
    </w:p>
    <w:p w:rsidR="00CE10BE" w:rsidRPr="00CE10BE" w:rsidRDefault="00CE10BE" w:rsidP="00200F4E">
      <w:pPr>
        <w:numPr>
          <w:ilvl w:val="0"/>
          <w:numId w:val="3"/>
        </w:numPr>
        <w:spacing w:before="0" w:line="276" w:lineRule="auto"/>
        <w:ind w:left="0"/>
        <w:rPr>
          <w:rFonts w:asciiTheme="majorBidi" w:eastAsia="Times New Roman" w:hAnsiTheme="majorBidi" w:cstheme="majorBidi"/>
          <w:sz w:val="26"/>
          <w:szCs w:val="26"/>
          <w:lang w:eastAsia="fr-FR"/>
        </w:rPr>
      </w:pPr>
      <w:r w:rsidRPr="003C4FBF">
        <w:rPr>
          <w:rFonts w:asciiTheme="majorBidi" w:eastAsia="Times New Roman" w:hAnsiTheme="majorBidi" w:cstheme="majorBidi"/>
          <w:b/>
          <w:bCs/>
          <w:sz w:val="26"/>
          <w:szCs w:val="26"/>
          <w:u w:val="single"/>
          <w:lang w:eastAsia="fr-FR"/>
        </w:rPr>
        <w:t>Le Conseil supérieur de la magistrature</w:t>
      </w:r>
      <w:r w:rsidRPr="00200F4E">
        <w:rPr>
          <w:rFonts w:asciiTheme="majorBidi" w:eastAsia="Times New Roman" w:hAnsiTheme="majorBidi" w:cstheme="majorBidi"/>
          <w:b/>
          <w:bCs/>
          <w:sz w:val="26"/>
          <w:szCs w:val="26"/>
          <w:lang w:eastAsia="fr-FR"/>
        </w:rPr>
        <w:t xml:space="preserve"> </w:t>
      </w:r>
      <w:r w:rsidRPr="00CE10BE">
        <w:rPr>
          <w:rFonts w:asciiTheme="majorBidi" w:eastAsia="Times New Roman" w:hAnsiTheme="majorBidi" w:cstheme="majorBidi"/>
          <w:sz w:val="26"/>
          <w:szCs w:val="26"/>
          <w:lang w:eastAsia="fr-FR"/>
        </w:rPr>
        <w:t>: Présidé par le président de la République, le Conseil supérieur de la magistrature veille au respect des dispositions du statut de la magistrature et au contrôle de la discipline des magistrats, sous la présidence du Premier Président de la Cour suprême. Il décide également des nominations, des mutations et du déroulement de la carrière des magistrats.</w:t>
      </w:r>
    </w:p>
    <w:p w:rsidR="00CE10BE" w:rsidRPr="00CE10BE" w:rsidRDefault="00CE10BE" w:rsidP="0047368C">
      <w:pPr>
        <w:spacing w:before="0" w:line="276" w:lineRule="auto"/>
        <w:ind w:firstLine="284"/>
        <w:rPr>
          <w:rFonts w:asciiTheme="majorBidi" w:eastAsia="Times New Roman" w:hAnsiTheme="majorBidi" w:cstheme="majorBidi"/>
          <w:sz w:val="26"/>
          <w:szCs w:val="26"/>
          <w:lang w:eastAsia="fr-FR"/>
        </w:rPr>
      </w:pPr>
      <w:r w:rsidRPr="00CE10BE">
        <w:rPr>
          <w:rFonts w:asciiTheme="majorBidi" w:eastAsia="Times New Roman" w:hAnsiTheme="majorBidi" w:cstheme="majorBidi"/>
          <w:sz w:val="26"/>
          <w:szCs w:val="26"/>
          <w:lang w:eastAsia="fr-FR"/>
        </w:rPr>
        <w:t>La Cour Suprême et le Conseil d’Etat assurent l’unification de la jurisprudence à travers le pays et veillent au respect de la loi</w:t>
      </w:r>
    </w:p>
    <w:p w:rsidR="00102ECA" w:rsidRPr="003C4FBF" w:rsidRDefault="00102ECA" w:rsidP="0047368C">
      <w:pPr>
        <w:pStyle w:val="NormalWeb"/>
        <w:spacing w:before="240" w:beforeAutospacing="0" w:after="0" w:afterAutospacing="0" w:line="276" w:lineRule="auto"/>
        <w:jc w:val="both"/>
        <w:rPr>
          <w:rFonts w:asciiTheme="majorBidi" w:hAnsiTheme="majorBidi" w:cstheme="majorBidi"/>
          <w:b/>
          <w:bCs/>
          <w:sz w:val="26"/>
          <w:szCs w:val="26"/>
        </w:rPr>
      </w:pPr>
      <w:r w:rsidRPr="003C4FBF">
        <w:rPr>
          <w:rStyle w:val="lev"/>
          <w:rFonts w:asciiTheme="majorBidi" w:hAnsiTheme="majorBidi" w:cstheme="majorBidi"/>
          <w:b w:val="0"/>
          <w:bCs w:val="0"/>
          <w:sz w:val="26"/>
          <w:szCs w:val="26"/>
        </w:rPr>
        <w:t>2) Les Cours et les tribunaux :</w:t>
      </w:r>
    </w:p>
    <w:p w:rsidR="00102ECA" w:rsidRPr="00200F4E" w:rsidRDefault="00102ECA" w:rsidP="00200F4E">
      <w:pPr>
        <w:pStyle w:val="NormalWeb"/>
        <w:spacing w:before="0" w:beforeAutospacing="0" w:after="0" w:afterAutospacing="0" w:line="276" w:lineRule="auto"/>
        <w:jc w:val="both"/>
        <w:rPr>
          <w:rFonts w:asciiTheme="majorBidi" w:hAnsiTheme="majorBidi" w:cstheme="majorBidi"/>
          <w:sz w:val="26"/>
          <w:szCs w:val="26"/>
        </w:rPr>
      </w:pPr>
      <w:r w:rsidRPr="00200F4E">
        <w:rPr>
          <w:rStyle w:val="lev"/>
          <w:rFonts w:asciiTheme="majorBidi" w:hAnsiTheme="majorBidi" w:cstheme="majorBidi"/>
          <w:sz w:val="26"/>
          <w:szCs w:val="26"/>
        </w:rPr>
        <w:t xml:space="preserve">1 </w:t>
      </w:r>
      <w:r w:rsidRPr="00200F4E">
        <w:rPr>
          <w:rStyle w:val="lev"/>
          <w:rFonts w:asciiTheme="majorBidi" w:hAnsiTheme="majorBidi" w:cstheme="majorBidi"/>
          <w:sz w:val="26"/>
          <w:szCs w:val="26"/>
          <w:vertAlign w:val="superscript"/>
        </w:rPr>
        <w:t xml:space="preserve">er </w:t>
      </w:r>
      <w:r w:rsidRPr="00200F4E">
        <w:rPr>
          <w:rStyle w:val="lev"/>
          <w:rFonts w:asciiTheme="majorBidi" w:hAnsiTheme="majorBidi" w:cstheme="majorBidi"/>
          <w:sz w:val="26"/>
          <w:szCs w:val="26"/>
        </w:rPr>
        <w:t xml:space="preserve">degré : </w:t>
      </w:r>
      <w:r w:rsidRPr="003C4FBF">
        <w:rPr>
          <w:rStyle w:val="lev"/>
          <w:rFonts w:asciiTheme="majorBidi" w:hAnsiTheme="majorBidi" w:cstheme="majorBidi"/>
          <w:sz w:val="26"/>
          <w:szCs w:val="26"/>
          <w:u w:val="single"/>
        </w:rPr>
        <w:t>Le</w:t>
      </w:r>
      <w:r w:rsidRPr="00200F4E">
        <w:rPr>
          <w:rStyle w:val="lev"/>
          <w:rFonts w:asciiTheme="majorBidi" w:hAnsiTheme="majorBidi" w:cstheme="majorBidi"/>
          <w:sz w:val="26"/>
          <w:szCs w:val="26"/>
        </w:rPr>
        <w:t xml:space="preserve"> </w:t>
      </w:r>
      <w:r w:rsidRPr="003C4FBF">
        <w:rPr>
          <w:rStyle w:val="lev"/>
          <w:rFonts w:asciiTheme="majorBidi" w:hAnsiTheme="majorBidi" w:cstheme="majorBidi"/>
          <w:sz w:val="26"/>
          <w:szCs w:val="26"/>
          <w:u w:val="single"/>
        </w:rPr>
        <w:t>Tribunal </w:t>
      </w:r>
      <w:r w:rsidRPr="00200F4E">
        <w:rPr>
          <w:rStyle w:val="lev"/>
          <w:rFonts w:asciiTheme="majorBidi" w:hAnsiTheme="majorBidi" w:cstheme="majorBidi"/>
          <w:sz w:val="26"/>
          <w:szCs w:val="26"/>
        </w:rPr>
        <w:t>:</w:t>
      </w:r>
      <w:r w:rsidRPr="00200F4E">
        <w:rPr>
          <w:rFonts w:asciiTheme="majorBidi" w:hAnsiTheme="majorBidi" w:cstheme="majorBidi"/>
          <w:sz w:val="26"/>
          <w:szCs w:val="26"/>
        </w:rPr>
        <w:t xml:space="preserve"> constitue </w:t>
      </w:r>
      <w:r w:rsidRPr="003C4FBF">
        <w:rPr>
          <w:rFonts w:asciiTheme="majorBidi" w:hAnsiTheme="majorBidi" w:cstheme="majorBidi"/>
          <w:sz w:val="26"/>
          <w:szCs w:val="26"/>
          <w:u w:val="single"/>
        </w:rPr>
        <w:t>la juridiction</w:t>
      </w:r>
      <w:r w:rsidRPr="00200F4E">
        <w:rPr>
          <w:rFonts w:asciiTheme="majorBidi" w:hAnsiTheme="majorBidi" w:cstheme="majorBidi"/>
          <w:sz w:val="26"/>
          <w:szCs w:val="26"/>
        </w:rPr>
        <w:t xml:space="preserve"> du premier degré. Sa compétence est déterminée par le code de procédure civile, le code de procédure pénale et les lois particulières en vigueur.</w:t>
      </w:r>
    </w:p>
    <w:p w:rsidR="00102ECA" w:rsidRPr="00200F4E" w:rsidRDefault="00102ECA" w:rsidP="00200F4E">
      <w:pPr>
        <w:pStyle w:val="NormalWeb"/>
        <w:spacing w:before="0" w:beforeAutospacing="0" w:after="0" w:afterAutospacing="0" w:line="276" w:lineRule="auto"/>
        <w:ind w:firstLine="284"/>
        <w:jc w:val="both"/>
        <w:rPr>
          <w:rFonts w:asciiTheme="majorBidi" w:hAnsiTheme="majorBidi" w:cstheme="majorBidi"/>
          <w:sz w:val="26"/>
          <w:szCs w:val="26"/>
        </w:rPr>
      </w:pPr>
      <w:r w:rsidRPr="00200F4E">
        <w:rPr>
          <w:rFonts w:asciiTheme="majorBidi" w:hAnsiTheme="majorBidi" w:cstheme="majorBidi"/>
          <w:sz w:val="26"/>
          <w:szCs w:val="26"/>
        </w:rPr>
        <w:t xml:space="preserve">Le tribunal est divisé en plusieurs </w:t>
      </w:r>
      <w:r w:rsidRPr="003C4FBF">
        <w:rPr>
          <w:rFonts w:asciiTheme="majorBidi" w:hAnsiTheme="majorBidi" w:cstheme="majorBidi"/>
          <w:sz w:val="26"/>
          <w:szCs w:val="26"/>
          <w:u w:val="single"/>
        </w:rPr>
        <w:t>sections</w:t>
      </w:r>
      <w:r w:rsidRPr="00200F4E">
        <w:rPr>
          <w:rFonts w:asciiTheme="majorBidi" w:hAnsiTheme="majorBidi" w:cstheme="majorBidi"/>
          <w:sz w:val="26"/>
          <w:szCs w:val="26"/>
        </w:rPr>
        <w:t xml:space="preserve"> : </w:t>
      </w:r>
      <w:r w:rsidRPr="003C4FBF">
        <w:rPr>
          <w:rFonts w:asciiTheme="majorBidi" w:hAnsiTheme="majorBidi" w:cstheme="majorBidi"/>
          <w:sz w:val="26"/>
          <w:szCs w:val="26"/>
          <w:u w:val="single"/>
        </w:rPr>
        <w:t>section des mineurs, commerciale, des affaires familiales, des référés, maritime, délit, foncière, des contraventions, civile,</w:t>
      </w:r>
      <w:r w:rsidR="00200F4E" w:rsidRPr="003C4FBF">
        <w:rPr>
          <w:rFonts w:asciiTheme="majorBidi" w:hAnsiTheme="majorBidi" w:cstheme="majorBidi"/>
          <w:sz w:val="26"/>
          <w:szCs w:val="26"/>
          <w:u w:val="single"/>
        </w:rPr>
        <w:t xml:space="preserve"> sociale</w:t>
      </w:r>
      <w:r w:rsidR="00200F4E" w:rsidRPr="00200F4E">
        <w:rPr>
          <w:rFonts w:asciiTheme="majorBidi" w:hAnsiTheme="majorBidi" w:cstheme="majorBidi"/>
          <w:sz w:val="26"/>
          <w:szCs w:val="26"/>
        </w:rPr>
        <w:t>.</w:t>
      </w:r>
      <w:r w:rsidRPr="00200F4E">
        <w:rPr>
          <w:rFonts w:asciiTheme="majorBidi" w:hAnsiTheme="majorBidi" w:cstheme="majorBidi"/>
          <w:sz w:val="26"/>
          <w:szCs w:val="26"/>
        </w:rPr>
        <w:t xml:space="preserve"> </w:t>
      </w:r>
    </w:p>
    <w:p w:rsidR="00102ECA" w:rsidRPr="00200F4E" w:rsidRDefault="00200F4E" w:rsidP="00200F4E">
      <w:pPr>
        <w:pStyle w:val="NormalWeb"/>
        <w:spacing w:before="0" w:beforeAutospacing="0" w:after="0" w:afterAutospacing="0" w:line="276" w:lineRule="auto"/>
        <w:jc w:val="both"/>
        <w:rPr>
          <w:rFonts w:asciiTheme="majorBidi" w:hAnsiTheme="majorBidi" w:cstheme="majorBidi"/>
          <w:sz w:val="26"/>
          <w:szCs w:val="26"/>
        </w:rPr>
      </w:pPr>
      <w:r w:rsidRPr="00200F4E">
        <w:rPr>
          <w:rStyle w:val="lev"/>
          <w:rFonts w:asciiTheme="majorBidi" w:hAnsiTheme="majorBidi" w:cstheme="majorBidi"/>
          <w:sz w:val="26"/>
          <w:szCs w:val="26"/>
        </w:rPr>
        <w:t xml:space="preserve">2 </w:t>
      </w:r>
      <w:proofErr w:type="spellStart"/>
      <w:r w:rsidRPr="00200F4E">
        <w:rPr>
          <w:rStyle w:val="lev"/>
          <w:rFonts w:asciiTheme="majorBidi" w:hAnsiTheme="majorBidi" w:cstheme="majorBidi"/>
          <w:sz w:val="26"/>
          <w:szCs w:val="26"/>
          <w:vertAlign w:val="superscript"/>
        </w:rPr>
        <w:t>ème</w:t>
      </w:r>
      <w:proofErr w:type="spellEnd"/>
      <w:r w:rsidRPr="00200F4E">
        <w:rPr>
          <w:rStyle w:val="lev"/>
          <w:rFonts w:asciiTheme="majorBidi" w:hAnsiTheme="majorBidi" w:cstheme="majorBidi"/>
          <w:sz w:val="26"/>
          <w:szCs w:val="26"/>
          <w:vertAlign w:val="superscript"/>
        </w:rPr>
        <w:t xml:space="preserve"> </w:t>
      </w:r>
      <w:r w:rsidRPr="00200F4E">
        <w:rPr>
          <w:rStyle w:val="lev"/>
          <w:rFonts w:asciiTheme="majorBidi" w:hAnsiTheme="majorBidi" w:cstheme="majorBidi"/>
          <w:sz w:val="26"/>
          <w:szCs w:val="26"/>
        </w:rPr>
        <w:t xml:space="preserve">degré : </w:t>
      </w:r>
      <w:r w:rsidR="00102ECA" w:rsidRPr="003C4FBF">
        <w:rPr>
          <w:rStyle w:val="lev"/>
          <w:rFonts w:asciiTheme="majorBidi" w:hAnsiTheme="majorBidi" w:cstheme="majorBidi"/>
          <w:sz w:val="26"/>
          <w:szCs w:val="26"/>
          <w:u w:val="single"/>
        </w:rPr>
        <w:t>La Cour</w:t>
      </w:r>
      <w:r w:rsidR="00102ECA" w:rsidRPr="00200F4E">
        <w:rPr>
          <w:rStyle w:val="lev"/>
          <w:rFonts w:asciiTheme="majorBidi" w:hAnsiTheme="majorBidi" w:cstheme="majorBidi"/>
          <w:sz w:val="26"/>
          <w:szCs w:val="26"/>
        </w:rPr>
        <w:t> :</w:t>
      </w:r>
      <w:r w:rsidR="00102ECA" w:rsidRPr="00200F4E">
        <w:rPr>
          <w:rFonts w:asciiTheme="majorBidi" w:hAnsiTheme="majorBidi" w:cstheme="majorBidi"/>
          <w:sz w:val="26"/>
          <w:szCs w:val="26"/>
        </w:rPr>
        <w:t xml:space="preserve"> est une juridiction d’appel des jugements rendus par les tribunaux, elle statue en </w:t>
      </w:r>
      <w:r w:rsidR="00102ECA" w:rsidRPr="003C4FBF">
        <w:rPr>
          <w:rFonts w:asciiTheme="majorBidi" w:hAnsiTheme="majorBidi" w:cstheme="majorBidi"/>
          <w:sz w:val="26"/>
          <w:szCs w:val="26"/>
          <w:u w:val="single"/>
        </w:rPr>
        <w:t>formation collégiale</w:t>
      </w:r>
      <w:r w:rsidR="00102ECA" w:rsidRPr="00200F4E">
        <w:rPr>
          <w:rFonts w:asciiTheme="majorBidi" w:hAnsiTheme="majorBidi" w:cstheme="majorBidi"/>
          <w:sz w:val="26"/>
          <w:szCs w:val="26"/>
        </w:rPr>
        <w:t>.</w:t>
      </w:r>
    </w:p>
    <w:p w:rsidR="00FB2B79" w:rsidRPr="00FB2B79" w:rsidRDefault="00102ECA" w:rsidP="00FB2B79">
      <w:pPr>
        <w:pStyle w:val="NormalWeb"/>
        <w:spacing w:before="0" w:beforeAutospacing="0" w:after="0" w:afterAutospacing="0" w:line="276" w:lineRule="auto"/>
        <w:jc w:val="both"/>
        <w:rPr>
          <w:rFonts w:asciiTheme="majorBidi" w:hAnsiTheme="majorBidi" w:cstheme="majorBidi"/>
          <w:sz w:val="26"/>
          <w:szCs w:val="26"/>
        </w:rPr>
      </w:pPr>
      <w:r w:rsidRPr="00200F4E">
        <w:rPr>
          <w:rFonts w:asciiTheme="majorBidi" w:hAnsiTheme="majorBidi" w:cstheme="majorBidi"/>
          <w:sz w:val="26"/>
          <w:szCs w:val="26"/>
        </w:rPr>
        <w:t>Chaque Cour est divisée en plusieurs chambres lesquelles pe</w:t>
      </w:r>
      <w:r w:rsidR="00200F4E" w:rsidRPr="00200F4E">
        <w:rPr>
          <w:rFonts w:asciiTheme="majorBidi" w:hAnsiTheme="majorBidi" w:cstheme="majorBidi"/>
          <w:sz w:val="26"/>
          <w:szCs w:val="26"/>
        </w:rPr>
        <w:t>uvent se subdiviser en sections : chambre des mineurs, commerciale, des affaires familiales, des référés, maritime, pénale, foncière, d’accusation, civile, sociale.</w:t>
      </w:r>
      <w:r w:rsidR="00FB2B79">
        <w:rPr>
          <w:rFonts w:asciiTheme="majorBidi" w:hAnsiTheme="majorBidi" w:cstheme="majorBidi"/>
          <w:b/>
          <w:bCs/>
          <w:sz w:val="28"/>
          <w:szCs w:val="28"/>
          <w:u w:val="single"/>
        </w:rPr>
        <w:br w:type="page"/>
      </w:r>
    </w:p>
    <w:p w:rsidR="00FB2B79" w:rsidRDefault="00FB2B79" w:rsidP="00FB2B79">
      <w:pPr>
        <w:pStyle w:val="NormalWeb"/>
        <w:spacing w:before="0" w:beforeAutospacing="0" w:after="0" w:afterAutospacing="0" w:line="276" w:lineRule="auto"/>
        <w:jc w:val="both"/>
        <w:rPr>
          <w:rFonts w:asciiTheme="majorBidi" w:hAnsiTheme="majorBidi" w:cstheme="majorBidi"/>
          <w:b/>
          <w:bCs/>
          <w:sz w:val="28"/>
          <w:szCs w:val="28"/>
          <w:u w:val="single"/>
        </w:rPr>
      </w:pPr>
      <w:r w:rsidRPr="00FB2B79">
        <w:rPr>
          <w:rFonts w:asciiTheme="majorBidi" w:hAnsiTheme="majorBidi" w:cstheme="majorBidi"/>
          <w:b/>
          <w:bCs/>
          <w:sz w:val="28"/>
          <w:szCs w:val="28"/>
          <w:u w:val="single"/>
        </w:rPr>
        <w:lastRenderedPageBreak/>
        <w:t>Exercices :</w:t>
      </w:r>
    </w:p>
    <w:p w:rsidR="00FB2B79" w:rsidRDefault="00FB2B79" w:rsidP="00FB2B79">
      <w:pPr>
        <w:pStyle w:val="NormalWeb"/>
        <w:spacing w:before="0" w:beforeAutospacing="0" w:after="0" w:afterAutospacing="0" w:line="276" w:lineRule="auto"/>
        <w:jc w:val="both"/>
        <w:rPr>
          <w:rFonts w:asciiTheme="majorBidi" w:hAnsiTheme="majorBidi" w:cstheme="majorBidi"/>
          <w:b/>
          <w:bCs/>
          <w:sz w:val="28"/>
          <w:szCs w:val="28"/>
          <w:u w:val="single"/>
        </w:rPr>
      </w:pPr>
    </w:p>
    <w:p w:rsidR="00FB2B79" w:rsidRDefault="00FB2B79" w:rsidP="00FB2B79">
      <w:pPr>
        <w:pStyle w:val="NormalWeb"/>
        <w:numPr>
          <w:ilvl w:val="0"/>
          <w:numId w:val="4"/>
        </w:numPr>
        <w:spacing w:before="0" w:beforeAutospacing="0" w:after="0" w:afterAutospacing="0" w:line="360" w:lineRule="auto"/>
        <w:jc w:val="both"/>
        <w:rPr>
          <w:rFonts w:asciiTheme="majorBidi" w:hAnsiTheme="majorBidi" w:cstheme="majorBidi"/>
          <w:sz w:val="28"/>
          <w:szCs w:val="28"/>
        </w:rPr>
      </w:pPr>
      <w:r>
        <w:rPr>
          <w:rFonts w:asciiTheme="majorBidi" w:hAnsiTheme="majorBidi" w:cstheme="majorBidi"/>
          <w:sz w:val="28"/>
          <w:szCs w:val="28"/>
        </w:rPr>
        <w:t>Quels sont les différents principes du système judiciaire (dans le texte) ?</w:t>
      </w:r>
    </w:p>
    <w:p w:rsidR="00FB2B79" w:rsidRDefault="00FB2B79" w:rsidP="00FB2B79">
      <w:pPr>
        <w:pStyle w:val="NormalWeb"/>
        <w:numPr>
          <w:ilvl w:val="0"/>
          <w:numId w:val="4"/>
        </w:numPr>
        <w:spacing w:before="0" w:beforeAutospacing="0" w:after="0" w:afterAutospacing="0" w:line="360" w:lineRule="auto"/>
        <w:jc w:val="both"/>
        <w:rPr>
          <w:rFonts w:asciiTheme="majorBidi" w:hAnsiTheme="majorBidi" w:cstheme="majorBidi"/>
          <w:sz w:val="28"/>
          <w:szCs w:val="28"/>
        </w:rPr>
      </w:pPr>
      <w:r>
        <w:rPr>
          <w:rFonts w:asciiTheme="majorBidi" w:hAnsiTheme="majorBidi" w:cstheme="majorBidi"/>
          <w:sz w:val="28"/>
          <w:szCs w:val="28"/>
        </w:rPr>
        <w:t>Citez les caractéristiques du système judiciaire ?</w:t>
      </w:r>
    </w:p>
    <w:p w:rsidR="00FB2B79" w:rsidRPr="00FB2B79" w:rsidRDefault="00FB2B79" w:rsidP="00FB2B79">
      <w:pPr>
        <w:pStyle w:val="NormalWeb"/>
        <w:numPr>
          <w:ilvl w:val="0"/>
          <w:numId w:val="4"/>
        </w:numPr>
        <w:spacing w:before="0" w:beforeAutospacing="0" w:after="0" w:afterAutospacing="0" w:line="360" w:lineRule="auto"/>
        <w:jc w:val="both"/>
        <w:rPr>
          <w:rFonts w:asciiTheme="majorBidi" w:hAnsiTheme="majorBidi" w:cstheme="majorBidi"/>
          <w:sz w:val="28"/>
          <w:szCs w:val="28"/>
        </w:rPr>
      </w:pPr>
      <w:r>
        <w:rPr>
          <w:rFonts w:asciiTheme="majorBidi" w:hAnsiTheme="majorBidi" w:cstheme="majorBidi"/>
          <w:sz w:val="28"/>
          <w:szCs w:val="28"/>
        </w:rPr>
        <w:t>Faites la traduction des termes soulignés dans le texte, du français vers l’arabe ?</w:t>
      </w:r>
    </w:p>
    <w:sectPr w:rsidR="00FB2B79" w:rsidRPr="00FB2B79" w:rsidSect="003F6C58">
      <w:pgSz w:w="11906" w:h="16838"/>
      <w:pgMar w:top="709" w:right="849"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B9" w:rsidRDefault="00035FB9" w:rsidP="00800A7E">
      <w:pPr>
        <w:spacing w:before="0" w:line="240" w:lineRule="auto"/>
      </w:pPr>
      <w:r>
        <w:separator/>
      </w:r>
    </w:p>
  </w:endnote>
  <w:endnote w:type="continuationSeparator" w:id="0">
    <w:p w:rsidR="00035FB9" w:rsidRDefault="00035FB9" w:rsidP="00800A7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B9" w:rsidRDefault="00035FB9" w:rsidP="00800A7E">
      <w:pPr>
        <w:spacing w:before="0" w:line="240" w:lineRule="auto"/>
      </w:pPr>
      <w:r>
        <w:separator/>
      </w:r>
    </w:p>
  </w:footnote>
  <w:footnote w:type="continuationSeparator" w:id="0">
    <w:p w:rsidR="00035FB9" w:rsidRDefault="00035FB9" w:rsidP="00800A7E">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763"/>
    <w:multiLevelType w:val="multilevel"/>
    <w:tmpl w:val="C2D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F1C6E"/>
    <w:multiLevelType w:val="hybridMultilevel"/>
    <w:tmpl w:val="1482262C"/>
    <w:lvl w:ilvl="0" w:tplc="34AC07C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B75A20"/>
    <w:multiLevelType w:val="multilevel"/>
    <w:tmpl w:val="719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005EA"/>
    <w:multiLevelType w:val="multilevel"/>
    <w:tmpl w:val="128C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D01"/>
    <w:rsid w:val="00035FB9"/>
    <w:rsid w:val="000B6A03"/>
    <w:rsid w:val="00102ECA"/>
    <w:rsid w:val="001347E6"/>
    <w:rsid w:val="00136B3B"/>
    <w:rsid w:val="001936DA"/>
    <w:rsid w:val="00200F4E"/>
    <w:rsid w:val="00264711"/>
    <w:rsid w:val="002F02AA"/>
    <w:rsid w:val="00363401"/>
    <w:rsid w:val="003A524E"/>
    <w:rsid w:val="003C4FBF"/>
    <w:rsid w:val="003F6C58"/>
    <w:rsid w:val="004042A3"/>
    <w:rsid w:val="00410BF3"/>
    <w:rsid w:val="0042256F"/>
    <w:rsid w:val="0047368C"/>
    <w:rsid w:val="005412F3"/>
    <w:rsid w:val="00572E14"/>
    <w:rsid w:val="005A3493"/>
    <w:rsid w:val="00687958"/>
    <w:rsid w:val="006B6948"/>
    <w:rsid w:val="007648C3"/>
    <w:rsid w:val="007676DD"/>
    <w:rsid w:val="007831D2"/>
    <w:rsid w:val="00800A7E"/>
    <w:rsid w:val="008674D3"/>
    <w:rsid w:val="0088276E"/>
    <w:rsid w:val="008A3E4D"/>
    <w:rsid w:val="008A56C0"/>
    <w:rsid w:val="00901934"/>
    <w:rsid w:val="00901BF4"/>
    <w:rsid w:val="0091779F"/>
    <w:rsid w:val="009604DC"/>
    <w:rsid w:val="00995BB9"/>
    <w:rsid w:val="009C7BAF"/>
    <w:rsid w:val="009F5B04"/>
    <w:rsid w:val="00A222D6"/>
    <w:rsid w:val="00A6264D"/>
    <w:rsid w:val="00A90803"/>
    <w:rsid w:val="00AE2BAE"/>
    <w:rsid w:val="00AF3AAE"/>
    <w:rsid w:val="00B42B3E"/>
    <w:rsid w:val="00B53BC1"/>
    <w:rsid w:val="00B63267"/>
    <w:rsid w:val="00B755C2"/>
    <w:rsid w:val="00BC0673"/>
    <w:rsid w:val="00BF28E7"/>
    <w:rsid w:val="00C62F55"/>
    <w:rsid w:val="00C72042"/>
    <w:rsid w:val="00CE10BE"/>
    <w:rsid w:val="00CF0BC1"/>
    <w:rsid w:val="00CF519E"/>
    <w:rsid w:val="00D664C0"/>
    <w:rsid w:val="00DC79C8"/>
    <w:rsid w:val="00E01A0D"/>
    <w:rsid w:val="00E2703B"/>
    <w:rsid w:val="00E32928"/>
    <w:rsid w:val="00E87D01"/>
    <w:rsid w:val="00EC1C3D"/>
    <w:rsid w:val="00F33888"/>
    <w:rsid w:val="00F639A8"/>
    <w:rsid w:val="00F9658F"/>
    <w:rsid w:val="00FB2B79"/>
    <w:rsid w:val="00FC0B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03"/>
  </w:style>
  <w:style w:type="paragraph" w:styleId="Titre3">
    <w:name w:val="heading 3"/>
    <w:basedOn w:val="Normal"/>
    <w:link w:val="Titre3Car"/>
    <w:uiPriority w:val="9"/>
    <w:qFormat/>
    <w:rsid w:val="00E87D01"/>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تهميشات"/>
    <w:basedOn w:val="Normal"/>
    <w:link w:val="Car"/>
    <w:qFormat/>
    <w:rsid w:val="00D664C0"/>
    <w:pPr>
      <w:bidi/>
      <w:spacing w:before="120" w:line="240" w:lineRule="auto"/>
      <w:ind w:left="142" w:hanging="142"/>
    </w:pPr>
    <w:rPr>
      <w:rFonts w:asciiTheme="majorBidi" w:hAnsiTheme="majorBidi" w:cstheme="majorBidi"/>
      <w:sz w:val="24"/>
      <w:szCs w:val="24"/>
      <w:lang w:bidi="ar-DZ"/>
    </w:rPr>
  </w:style>
  <w:style w:type="character" w:customStyle="1" w:styleId="Car">
    <w:name w:val="تهميشات Car"/>
    <w:basedOn w:val="Policepardfaut"/>
    <w:link w:val="a"/>
    <w:rsid w:val="00D664C0"/>
    <w:rPr>
      <w:rFonts w:asciiTheme="majorBidi" w:hAnsiTheme="majorBidi" w:cstheme="majorBidi"/>
      <w:sz w:val="24"/>
      <w:szCs w:val="24"/>
      <w:lang w:bidi="ar-DZ"/>
    </w:rPr>
  </w:style>
  <w:style w:type="character" w:customStyle="1" w:styleId="Titre3Car">
    <w:name w:val="Titre 3 Car"/>
    <w:basedOn w:val="Policepardfaut"/>
    <w:link w:val="Titre3"/>
    <w:uiPriority w:val="9"/>
    <w:rsid w:val="00E87D0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87D01"/>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87D01"/>
    <w:rPr>
      <w:b/>
      <w:bCs/>
    </w:rPr>
  </w:style>
  <w:style w:type="paragraph" w:styleId="Paragraphedeliste">
    <w:name w:val="List Paragraph"/>
    <w:basedOn w:val="Normal"/>
    <w:uiPriority w:val="34"/>
    <w:qFormat/>
    <w:rsid w:val="00AE2BAE"/>
    <w:pPr>
      <w:ind w:left="720"/>
      <w:contextualSpacing/>
    </w:pPr>
  </w:style>
  <w:style w:type="paragraph" w:styleId="Notedebasdepage">
    <w:name w:val="footnote text"/>
    <w:basedOn w:val="Normal"/>
    <w:link w:val="NotedebasdepageCar"/>
    <w:uiPriority w:val="99"/>
    <w:semiHidden/>
    <w:unhideWhenUsed/>
    <w:rsid w:val="00800A7E"/>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800A7E"/>
    <w:rPr>
      <w:sz w:val="20"/>
      <w:szCs w:val="20"/>
    </w:rPr>
  </w:style>
  <w:style w:type="character" w:styleId="Appelnotedebasdep">
    <w:name w:val="footnote reference"/>
    <w:basedOn w:val="Policepardfaut"/>
    <w:uiPriority w:val="99"/>
    <w:semiHidden/>
    <w:unhideWhenUsed/>
    <w:rsid w:val="00800A7E"/>
    <w:rPr>
      <w:vertAlign w:val="superscript"/>
    </w:rPr>
  </w:style>
</w:styles>
</file>

<file path=word/webSettings.xml><?xml version="1.0" encoding="utf-8"?>
<w:webSettings xmlns:r="http://schemas.openxmlformats.org/officeDocument/2006/relationships" xmlns:w="http://schemas.openxmlformats.org/wordprocessingml/2006/main">
  <w:divs>
    <w:div w:id="81878794">
      <w:bodyDiv w:val="1"/>
      <w:marLeft w:val="0"/>
      <w:marRight w:val="0"/>
      <w:marTop w:val="0"/>
      <w:marBottom w:val="0"/>
      <w:divBdr>
        <w:top w:val="none" w:sz="0" w:space="0" w:color="auto"/>
        <w:left w:val="none" w:sz="0" w:space="0" w:color="auto"/>
        <w:bottom w:val="none" w:sz="0" w:space="0" w:color="auto"/>
        <w:right w:val="none" w:sz="0" w:space="0" w:color="auto"/>
      </w:divBdr>
      <w:divsChild>
        <w:div w:id="1112626427">
          <w:marLeft w:val="0"/>
          <w:marRight w:val="0"/>
          <w:marTop w:val="0"/>
          <w:marBottom w:val="0"/>
          <w:divBdr>
            <w:top w:val="none" w:sz="0" w:space="0" w:color="auto"/>
            <w:left w:val="none" w:sz="0" w:space="0" w:color="auto"/>
            <w:bottom w:val="none" w:sz="0" w:space="0" w:color="auto"/>
            <w:right w:val="none" w:sz="0" w:space="0" w:color="auto"/>
          </w:divBdr>
        </w:div>
        <w:div w:id="1040983240">
          <w:marLeft w:val="0"/>
          <w:marRight w:val="0"/>
          <w:marTop w:val="0"/>
          <w:marBottom w:val="0"/>
          <w:divBdr>
            <w:top w:val="none" w:sz="0" w:space="0" w:color="auto"/>
            <w:left w:val="none" w:sz="0" w:space="0" w:color="auto"/>
            <w:bottom w:val="none" w:sz="0" w:space="0" w:color="auto"/>
            <w:right w:val="none" w:sz="0" w:space="0" w:color="auto"/>
          </w:divBdr>
        </w:div>
        <w:div w:id="270287185">
          <w:marLeft w:val="0"/>
          <w:marRight w:val="0"/>
          <w:marTop w:val="0"/>
          <w:marBottom w:val="0"/>
          <w:divBdr>
            <w:top w:val="none" w:sz="0" w:space="0" w:color="auto"/>
            <w:left w:val="none" w:sz="0" w:space="0" w:color="auto"/>
            <w:bottom w:val="none" w:sz="0" w:space="0" w:color="auto"/>
            <w:right w:val="none" w:sz="0" w:space="0" w:color="auto"/>
          </w:divBdr>
        </w:div>
        <w:div w:id="1278369676">
          <w:marLeft w:val="0"/>
          <w:marRight w:val="0"/>
          <w:marTop w:val="0"/>
          <w:marBottom w:val="0"/>
          <w:divBdr>
            <w:top w:val="none" w:sz="0" w:space="0" w:color="auto"/>
            <w:left w:val="none" w:sz="0" w:space="0" w:color="auto"/>
            <w:bottom w:val="none" w:sz="0" w:space="0" w:color="auto"/>
            <w:right w:val="none" w:sz="0" w:space="0" w:color="auto"/>
          </w:divBdr>
        </w:div>
        <w:div w:id="692656000">
          <w:marLeft w:val="0"/>
          <w:marRight w:val="0"/>
          <w:marTop w:val="0"/>
          <w:marBottom w:val="0"/>
          <w:divBdr>
            <w:top w:val="none" w:sz="0" w:space="0" w:color="auto"/>
            <w:left w:val="none" w:sz="0" w:space="0" w:color="auto"/>
            <w:bottom w:val="none" w:sz="0" w:space="0" w:color="auto"/>
            <w:right w:val="none" w:sz="0" w:space="0" w:color="auto"/>
          </w:divBdr>
        </w:div>
        <w:div w:id="525681739">
          <w:marLeft w:val="0"/>
          <w:marRight w:val="0"/>
          <w:marTop w:val="0"/>
          <w:marBottom w:val="0"/>
          <w:divBdr>
            <w:top w:val="none" w:sz="0" w:space="0" w:color="auto"/>
            <w:left w:val="none" w:sz="0" w:space="0" w:color="auto"/>
            <w:bottom w:val="none" w:sz="0" w:space="0" w:color="auto"/>
            <w:right w:val="none" w:sz="0" w:space="0" w:color="auto"/>
          </w:divBdr>
        </w:div>
      </w:divsChild>
    </w:div>
    <w:div w:id="126630716">
      <w:bodyDiv w:val="1"/>
      <w:marLeft w:val="0"/>
      <w:marRight w:val="0"/>
      <w:marTop w:val="0"/>
      <w:marBottom w:val="0"/>
      <w:divBdr>
        <w:top w:val="none" w:sz="0" w:space="0" w:color="auto"/>
        <w:left w:val="none" w:sz="0" w:space="0" w:color="auto"/>
        <w:bottom w:val="none" w:sz="0" w:space="0" w:color="auto"/>
        <w:right w:val="none" w:sz="0" w:space="0" w:color="auto"/>
      </w:divBdr>
    </w:div>
    <w:div w:id="509948000">
      <w:bodyDiv w:val="1"/>
      <w:marLeft w:val="0"/>
      <w:marRight w:val="0"/>
      <w:marTop w:val="0"/>
      <w:marBottom w:val="0"/>
      <w:divBdr>
        <w:top w:val="none" w:sz="0" w:space="0" w:color="auto"/>
        <w:left w:val="none" w:sz="0" w:space="0" w:color="auto"/>
        <w:bottom w:val="none" w:sz="0" w:space="0" w:color="auto"/>
        <w:right w:val="none" w:sz="0" w:space="0" w:color="auto"/>
      </w:divBdr>
      <w:divsChild>
        <w:div w:id="1089541412">
          <w:marLeft w:val="0"/>
          <w:marRight w:val="0"/>
          <w:marTop w:val="0"/>
          <w:marBottom w:val="0"/>
          <w:divBdr>
            <w:top w:val="none" w:sz="0" w:space="0" w:color="auto"/>
            <w:left w:val="none" w:sz="0" w:space="0" w:color="auto"/>
            <w:bottom w:val="none" w:sz="0" w:space="0" w:color="auto"/>
            <w:right w:val="none" w:sz="0" w:space="0" w:color="auto"/>
          </w:divBdr>
        </w:div>
        <w:div w:id="270285377">
          <w:marLeft w:val="0"/>
          <w:marRight w:val="0"/>
          <w:marTop w:val="0"/>
          <w:marBottom w:val="0"/>
          <w:divBdr>
            <w:top w:val="none" w:sz="0" w:space="0" w:color="auto"/>
            <w:left w:val="none" w:sz="0" w:space="0" w:color="auto"/>
            <w:bottom w:val="none" w:sz="0" w:space="0" w:color="auto"/>
            <w:right w:val="none" w:sz="0" w:space="0" w:color="auto"/>
          </w:divBdr>
        </w:div>
        <w:div w:id="1527788795">
          <w:marLeft w:val="0"/>
          <w:marRight w:val="0"/>
          <w:marTop w:val="0"/>
          <w:marBottom w:val="0"/>
          <w:divBdr>
            <w:top w:val="none" w:sz="0" w:space="0" w:color="auto"/>
            <w:left w:val="none" w:sz="0" w:space="0" w:color="auto"/>
            <w:bottom w:val="none" w:sz="0" w:space="0" w:color="auto"/>
            <w:right w:val="none" w:sz="0" w:space="0" w:color="auto"/>
          </w:divBdr>
        </w:div>
        <w:div w:id="115410730">
          <w:marLeft w:val="0"/>
          <w:marRight w:val="0"/>
          <w:marTop w:val="0"/>
          <w:marBottom w:val="0"/>
          <w:divBdr>
            <w:top w:val="none" w:sz="0" w:space="0" w:color="auto"/>
            <w:left w:val="none" w:sz="0" w:space="0" w:color="auto"/>
            <w:bottom w:val="none" w:sz="0" w:space="0" w:color="auto"/>
            <w:right w:val="none" w:sz="0" w:space="0" w:color="auto"/>
          </w:divBdr>
        </w:div>
        <w:div w:id="1879974225">
          <w:marLeft w:val="0"/>
          <w:marRight w:val="0"/>
          <w:marTop w:val="0"/>
          <w:marBottom w:val="0"/>
          <w:divBdr>
            <w:top w:val="none" w:sz="0" w:space="0" w:color="auto"/>
            <w:left w:val="none" w:sz="0" w:space="0" w:color="auto"/>
            <w:bottom w:val="none" w:sz="0" w:space="0" w:color="auto"/>
            <w:right w:val="none" w:sz="0" w:space="0" w:color="auto"/>
          </w:divBdr>
        </w:div>
        <w:div w:id="534390938">
          <w:marLeft w:val="0"/>
          <w:marRight w:val="0"/>
          <w:marTop w:val="0"/>
          <w:marBottom w:val="0"/>
          <w:divBdr>
            <w:top w:val="none" w:sz="0" w:space="0" w:color="auto"/>
            <w:left w:val="none" w:sz="0" w:space="0" w:color="auto"/>
            <w:bottom w:val="none" w:sz="0" w:space="0" w:color="auto"/>
            <w:right w:val="none" w:sz="0" w:space="0" w:color="auto"/>
          </w:divBdr>
        </w:div>
        <w:div w:id="562984989">
          <w:marLeft w:val="0"/>
          <w:marRight w:val="0"/>
          <w:marTop w:val="0"/>
          <w:marBottom w:val="0"/>
          <w:divBdr>
            <w:top w:val="none" w:sz="0" w:space="0" w:color="auto"/>
            <w:left w:val="none" w:sz="0" w:space="0" w:color="auto"/>
            <w:bottom w:val="none" w:sz="0" w:space="0" w:color="auto"/>
            <w:right w:val="none" w:sz="0" w:space="0" w:color="auto"/>
          </w:divBdr>
        </w:div>
        <w:div w:id="355231247">
          <w:marLeft w:val="0"/>
          <w:marRight w:val="0"/>
          <w:marTop w:val="0"/>
          <w:marBottom w:val="0"/>
          <w:divBdr>
            <w:top w:val="none" w:sz="0" w:space="0" w:color="auto"/>
            <w:left w:val="none" w:sz="0" w:space="0" w:color="auto"/>
            <w:bottom w:val="none" w:sz="0" w:space="0" w:color="auto"/>
            <w:right w:val="none" w:sz="0" w:space="0" w:color="auto"/>
          </w:divBdr>
        </w:div>
        <w:div w:id="62456839">
          <w:marLeft w:val="0"/>
          <w:marRight w:val="0"/>
          <w:marTop w:val="0"/>
          <w:marBottom w:val="0"/>
          <w:divBdr>
            <w:top w:val="none" w:sz="0" w:space="0" w:color="auto"/>
            <w:left w:val="none" w:sz="0" w:space="0" w:color="auto"/>
            <w:bottom w:val="none" w:sz="0" w:space="0" w:color="auto"/>
            <w:right w:val="none" w:sz="0" w:space="0" w:color="auto"/>
          </w:divBdr>
        </w:div>
        <w:div w:id="245499807">
          <w:marLeft w:val="0"/>
          <w:marRight w:val="0"/>
          <w:marTop w:val="0"/>
          <w:marBottom w:val="0"/>
          <w:divBdr>
            <w:top w:val="none" w:sz="0" w:space="0" w:color="auto"/>
            <w:left w:val="none" w:sz="0" w:space="0" w:color="auto"/>
            <w:bottom w:val="none" w:sz="0" w:space="0" w:color="auto"/>
            <w:right w:val="none" w:sz="0" w:space="0" w:color="auto"/>
          </w:divBdr>
        </w:div>
        <w:div w:id="1485778733">
          <w:marLeft w:val="0"/>
          <w:marRight w:val="0"/>
          <w:marTop w:val="0"/>
          <w:marBottom w:val="0"/>
          <w:divBdr>
            <w:top w:val="none" w:sz="0" w:space="0" w:color="auto"/>
            <w:left w:val="none" w:sz="0" w:space="0" w:color="auto"/>
            <w:bottom w:val="none" w:sz="0" w:space="0" w:color="auto"/>
            <w:right w:val="none" w:sz="0" w:space="0" w:color="auto"/>
          </w:divBdr>
        </w:div>
        <w:div w:id="1856193079">
          <w:marLeft w:val="0"/>
          <w:marRight w:val="0"/>
          <w:marTop w:val="0"/>
          <w:marBottom w:val="0"/>
          <w:divBdr>
            <w:top w:val="none" w:sz="0" w:space="0" w:color="auto"/>
            <w:left w:val="none" w:sz="0" w:space="0" w:color="auto"/>
            <w:bottom w:val="none" w:sz="0" w:space="0" w:color="auto"/>
            <w:right w:val="none" w:sz="0" w:space="0" w:color="auto"/>
          </w:divBdr>
        </w:div>
        <w:div w:id="1673217277">
          <w:marLeft w:val="0"/>
          <w:marRight w:val="0"/>
          <w:marTop w:val="0"/>
          <w:marBottom w:val="0"/>
          <w:divBdr>
            <w:top w:val="none" w:sz="0" w:space="0" w:color="auto"/>
            <w:left w:val="none" w:sz="0" w:space="0" w:color="auto"/>
            <w:bottom w:val="none" w:sz="0" w:space="0" w:color="auto"/>
            <w:right w:val="none" w:sz="0" w:space="0" w:color="auto"/>
          </w:divBdr>
        </w:div>
        <w:div w:id="1250458478">
          <w:marLeft w:val="0"/>
          <w:marRight w:val="0"/>
          <w:marTop w:val="0"/>
          <w:marBottom w:val="0"/>
          <w:divBdr>
            <w:top w:val="none" w:sz="0" w:space="0" w:color="auto"/>
            <w:left w:val="none" w:sz="0" w:space="0" w:color="auto"/>
            <w:bottom w:val="none" w:sz="0" w:space="0" w:color="auto"/>
            <w:right w:val="none" w:sz="0" w:space="0" w:color="auto"/>
          </w:divBdr>
        </w:div>
        <w:div w:id="1195458423">
          <w:marLeft w:val="0"/>
          <w:marRight w:val="0"/>
          <w:marTop w:val="0"/>
          <w:marBottom w:val="0"/>
          <w:divBdr>
            <w:top w:val="none" w:sz="0" w:space="0" w:color="auto"/>
            <w:left w:val="none" w:sz="0" w:space="0" w:color="auto"/>
            <w:bottom w:val="none" w:sz="0" w:space="0" w:color="auto"/>
            <w:right w:val="none" w:sz="0" w:space="0" w:color="auto"/>
          </w:divBdr>
        </w:div>
        <w:div w:id="1072776399">
          <w:marLeft w:val="0"/>
          <w:marRight w:val="0"/>
          <w:marTop w:val="0"/>
          <w:marBottom w:val="0"/>
          <w:divBdr>
            <w:top w:val="none" w:sz="0" w:space="0" w:color="auto"/>
            <w:left w:val="none" w:sz="0" w:space="0" w:color="auto"/>
            <w:bottom w:val="none" w:sz="0" w:space="0" w:color="auto"/>
            <w:right w:val="none" w:sz="0" w:space="0" w:color="auto"/>
          </w:divBdr>
        </w:div>
        <w:div w:id="1597976395">
          <w:marLeft w:val="0"/>
          <w:marRight w:val="0"/>
          <w:marTop w:val="0"/>
          <w:marBottom w:val="0"/>
          <w:divBdr>
            <w:top w:val="none" w:sz="0" w:space="0" w:color="auto"/>
            <w:left w:val="none" w:sz="0" w:space="0" w:color="auto"/>
            <w:bottom w:val="none" w:sz="0" w:space="0" w:color="auto"/>
            <w:right w:val="none" w:sz="0" w:space="0" w:color="auto"/>
          </w:divBdr>
        </w:div>
        <w:div w:id="2028752234">
          <w:marLeft w:val="0"/>
          <w:marRight w:val="0"/>
          <w:marTop w:val="0"/>
          <w:marBottom w:val="0"/>
          <w:divBdr>
            <w:top w:val="none" w:sz="0" w:space="0" w:color="auto"/>
            <w:left w:val="none" w:sz="0" w:space="0" w:color="auto"/>
            <w:bottom w:val="none" w:sz="0" w:space="0" w:color="auto"/>
            <w:right w:val="none" w:sz="0" w:space="0" w:color="auto"/>
          </w:divBdr>
        </w:div>
        <w:div w:id="2142459213">
          <w:marLeft w:val="0"/>
          <w:marRight w:val="0"/>
          <w:marTop w:val="0"/>
          <w:marBottom w:val="0"/>
          <w:divBdr>
            <w:top w:val="none" w:sz="0" w:space="0" w:color="auto"/>
            <w:left w:val="none" w:sz="0" w:space="0" w:color="auto"/>
            <w:bottom w:val="none" w:sz="0" w:space="0" w:color="auto"/>
            <w:right w:val="none" w:sz="0" w:space="0" w:color="auto"/>
          </w:divBdr>
        </w:div>
        <w:div w:id="78210053">
          <w:marLeft w:val="0"/>
          <w:marRight w:val="0"/>
          <w:marTop w:val="0"/>
          <w:marBottom w:val="0"/>
          <w:divBdr>
            <w:top w:val="none" w:sz="0" w:space="0" w:color="auto"/>
            <w:left w:val="none" w:sz="0" w:space="0" w:color="auto"/>
            <w:bottom w:val="none" w:sz="0" w:space="0" w:color="auto"/>
            <w:right w:val="none" w:sz="0" w:space="0" w:color="auto"/>
          </w:divBdr>
        </w:div>
        <w:div w:id="731196732">
          <w:marLeft w:val="0"/>
          <w:marRight w:val="0"/>
          <w:marTop w:val="0"/>
          <w:marBottom w:val="0"/>
          <w:divBdr>
            <w:top w:val="none" w:sz="0" w:space="0" w:color="auto"/>
            <w:left w:val="none" w:sz="0" w:space="0" w:color="auto"/>
            <w:bottom w:val="none" w:sz="0" w:space="0" w:color="auto"/>
            <w:right w:val="none" w:sz="0" w:space="0" w:color="auto"/>
          </w:divBdr>
        </w:div>
        <w:div w:id="1606111160">
          <w:marLeft w:val="0"/>
          <w:marRight w:val="0"/>
          <w:marTop w:val="0"/>
          <w:marBottom w:val="0"/>
          <w:divBdr>
            <w:top w:val="none" w:sz="0" w:space="0" w:color="auto"/>
            <w:left w:val="none" w:sz="0" w:space="0" w:color="auto"/>
            <w:bottom w:val="none" w:sz="0" w:space="0" w:color="auto"/>
            <w:right w:val="none" w:sz="0" w:space="0" w:color="auto"/>
          </w:divBdr>
        </w:div>
        <w:div w:id="1826042844">
          <w:marLeft w:val="0"/>
          <w:marRight w:val="0"/>
          <w:marTop w:val="0"/>
          <w:marBottom w:val="0"/>
          <w:divBdr>
            <w:top w:val="none" w:sz="0" w:space="0" w:color="auto"/>
            <w:left w:val="none" w:sz="0" w:space="0" w:color="auto"/>
            <w:bottom w:val="none" w:sz="0" w:space="0" w:color="auto"/>
            <w:right w:val="none" w:sz="0" w:space="0" w:color="auto"/>
          </w:divBdr>
        </w:div>
        <w:div w:id="511574723">
          <w:marLeft w:val="0"/>
          <w:marRight w:val="0"/>
          <w:marTop w:val="0"/>
          <w:marBottom w:val="0"/>
          <w:divBdr>
            <w:top w:val="none" w:sz="0" w:space="0" w:color="auto"/>
            <w:left w:val="none" w:sz="0" w:space="0" w:color="auto"/>
            <w:bottom w:val="none" w:sz="0" w:space="0" w:color="auto"/>
            <w:right w:val="none" w:sz="0" w:space="0" w:color="auto"/>
          </w:divBdr>
        </w:div>
        <w:div w:id="1865315478">
          <w:marLeft w:val="0"/>
          <w:marRight w:val="0"/>
          <w:marTop w:val="0"/>
          <w:marBottom w:val="0"/>
          <w:divBdr>
            <w:top w:val="none" w:sz="0" w:space="0" w:color="auto"/>
            <w:left w:val="none" w:sz="0" w:space="0" w:color="auto"/>
            <w:bottom w:val="none" w:sz="0" w:space="0" w:color="auto"/>
            <w:right w:val="none" w:sz="0" w:space="0" w:color="auto"/>
          </w:divBdr>
        </w:div>
        <w:div w:id="1361904791">
          <w:marLeft w:val="0"/>
          <w:marRight w:val="0"/>
          <w:marTop w:val="0"/>
          <w:marBottom w:val="0"/>
          <w:divBdr>
            <w:top w:val="none" w:sz="0" w:space="0" w:color="auto"/>
            <w:left w:val="none" w:sz="0" w:space="0" w:color="auto"/>
            <w:bottom w:val="none" w:sz="0" w:space="0" w:color="auto"/>
            <w:right w:val="none" w:sz="0" w:space="0" w:color="auto"/>
          </w:divBdr>
        </w:div>
      </w:divsChild>
    </w:div>
    <w:div w:id="552667316">
      <w:bodyDiv w:val="1"/>
      <w:marLeft w:val="0"/>
      <w:marRight w:val="0"/>
      <w:marTop w:val="0"/>
      <w:marBottom w:val="0"/>
      <w:divBdr>
        <w:top w:val="none" w:sz="0" w:space="0" w:color="auto"/>
        <w:left w:val="none" w:sz="0" w:space="0" w:color="auto"/>
        <w:bottom w:val="none" w:sz="0" w:space="0" w:color="auto"/>
        <w:right w:val="none" w:sz="0" w:space="0" w:color="auto"/>
      </w:divBdr>
    </w:div>
    <w:div w:id="1101487810">
      <w:bodyDiv w:val="1"/>
      <w:marLeft w:val="0"/>
      <w:marRight w:val="0"/>
      <w:marTop w:val="0"/>
      <w:marBottom w:val="0"/>
      <w:divBdr>
        <w:top w:val="none" w:sz="0" w:space="0" w:color="auto"/>
        <w:left w:val="none" w:sz="0" w:space="0" w:color="auto"/>
        <w:bottom w:val="none" w:sz="0" w:space="0" w:color="auto"/>
        <w:right w:val="none" w:sz="0" w:space="0" w:color="auto"/>
      </w:divBdr>
    </w:div>
    <w:div w:id="1138572647">
      <w:bodyDiv w:val="1"/>
      <w:marLeft w:val="0"/>
      <w:marRight w:val="0"/>
      <w:marTop w:val="0"/>
      <w:marBottom w:val="0"/>
      <w:divBdr>
        <w:top w:val="none" w:sz="0" w:space="0" w:color="auto"/>
        <w:left w:val="none" w:sz="0" w:space="0" w:color="auto"/>
        <w:bottom w:val="none" w:sz="0" w:space="0" w:color="auto"/>
        <w:right w:val="none" w:sz="0" w:space="0" w:color="auto"/>
      </w:divBdr>
    </w:div>
    <w:div w:id="1801418252">
      <w:bodyDiv w:val="1"/>
      <w:marLeft w:val="0"/>
      <w:marRight w:val="0"/>
      <w:marTop w:val="0"/>
      <w:marBottom w:val="0"/>
      <w:divBdr>
        <w:top w:val="none" w:sz="0" w:space="0" w:color="auto"/>
        <w:left w:val="none" w:sz="0" w:space="0" w:color="auto"/>
        <w:bottom w:val="none" w:sz="0" w:space="0" w:color="auto"/>
        <w:right w:val="none" w:sz="0" w:space="0" w:color="auto"/>
      </w:divBdr>
    </w:div>
    <w:div w:id="19048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2B8DF-ACCB-41D6-B625-F4C262A6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12</cp:revision>
  <dcterms:created xsi:type="dcterms:W3CDTF">2017-11-11T20:36:00Z</dcterms:created>
  <dcterms:modified xsi:type="dcterms:W3CDTF">2020-05-19T11:54:00Z</dcterms:modified>
</cp:coreProperties>
</file>